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8440"/>
      </w:tblGrid>
      <w:tr>
        <w:tblPrEx>
          <w:tblCellMar>
            <w:top w:w="0" w:type="dxa"/>
            <w:left w:w="108" w:type="dxa"/>
            <w:bottom w:w="0" w:type="dxa"/>
            <w:right w:w="108" w:type="dxa"/>
          </w:tblCellMar>
        </w:tblPrEx>
        <w:trPr>
          <w:trHeight w:val="1551" w:hRule="atLeast"/>
          <w:jc w:val="center"/>
        </w:trPr>
        <w:tc>
          <w:tcPr>
            <w:tcW w:w="8440" w:type="dxa"/>
            <w:noWrap w:val="0"/>
            <w:vAlign w:val="center"/>
          </w:tcPr>
          <w:p>
            <w:pPr>
              <w:spacing w:line="1400" w:lineRule="exact"/>
              <w:jc w:val="distribute"/>
              <w:rPr>
                <w:rFonts w:hint="eastAsia" w:ascii="方正小标宋简体" w:hAnsi="Arial" w:eastAsia="方正大标宋简体" w:cs="Arial"/>
                <w:color w:val="FF0000"/>
                <w:w w:val="90"/>
                <w:sz w:val="108"/>
                <w:szCs w:val="108"/>
                <w:lang w:eastAsia="zh-CN"/>
              </w:rPr>
            </w:pPr>
            <w:r>
              <w:rPr>
                <w:sz w:val="108"/>
              </w:rPr>
              <mc:AlternateContent>
                <mc:Choice Requires="wps">
                  <w:drawing>
                    <wp:anchor distT="0" distB="0" distL="114300" distR="114300" simplePos="0" relativeHeight="251660288" behindDoc="1" locked="0" layoutInCell="1" allowOverlap="1">
                      <wp:simplePos x="0" y="0"/>
                      <wp:positionH relativeFrom="column">
                        <wp:posOffset>4998085</wp:posOffset>
                      </wp:positionH>
                      <wp:positionV relativeFrom="paragraph">
                        <wp:posOffset>-841375</wp:posOffset>
                      </wp:positionV>
                      <wp:extent cx="592455" cy="655955"/>
                      <wp:effectExtent l="0" t="0" r="17145" b="10795"/>
                      <wp:wrapNone/>
                      <wp:docPr id="2" name="文本框 2"/>
                      <wp:cNvGraphicFramePr/>
                      <a:graphic xmlns:a="http://schemas.openxmlformats.org/drawingml/2006/main">
                        <a:graphicData uri="http://schemas.microsoft.com/office/word/2010/wordprocessingShape">
                          <wps:wsp>
                            <wps:cNvSpPr txBox="1"/>
                            <wps:spPr>
                              <a:xfrm>
                                <a:off x="0" y="0"/>
                                <a:ext cx="592455" cy="655955"/>
                              </a:xfrm>
                              <a:prstGeom prst="rect">
                                <a:avLst/>
                              </a:prstGeom>
                              <a:solidFill>
                                <a:srgbClr val="FFFFFF"/>
                              </a:solidFill>
                              <a:ln>
                                <a:noFill/>
                              </a:ln>
                              <a:effectLst/>
                            </wps:spPr>
                            <wps:txbx>
                              <w:txbxContent>
                                <w:p>
                                  <w:pPr>
                                    <w:rPr>
                                      <w:sz w:val="52"/>
                                      <w:szCs w:val="52"/>
                                    </w:rPr>
                                  </w:pPr>
                                </w:p>
                              </w:txbxContent>
                            </wps:txbx>
                            <wps:bodyPr upright="1"/>
                          </wps:wsp>
                        </a:graphicData>
                      </a:graphic>
                    </wp:anchor>
                  </w:drawing>
                </mc:Choice>
                <mc:Fallback>
                  <w:pict>
                    <v:shape id="_x0000_s1026" o:spid="_x0000_s1026" o:spt="202" type="#_x0000_t202" style="position:absolute;left:0pt;margin-left:393.55pt;margin-top:-66.25pt;height:51.65pt;width:46.65pt;z-index:-251656192;mso-width-relative:page;mso-height-relative:page;" fillcolor="#FFFFFF" filled="t" stroked="f" coordsize="21600,21600" o:gfxdata="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HLqCTaAAAADAEAAA8AAAAAAAAAAQAgAAAAIgAAAGRycy9kb3du&#10;cmV2LnhtbFBLAQIUABQAAAAIAIdO4kAuNqR3xAEAAIQDAAAOAAAAAAAAAAEAIAAAACkBAABkcnMv&#10;ZTJvRG9jLnhtbFBLBQYAAAAABgAGAFkBAABfBQAAAAA=&#10;">
                      <v:fill on="t" focussize="0,0"/>
                      <v:stroke on="f"/>
                      <v:imagedata o:title=""/>
                      <o:lock v:ext="edit" aspectratio="f"/>
                      <v:textbox>
                        <w:txbxContent>
                          <w:p>
                            <w:pPr>
                              <w:rPr>
                                <w:sz w:val="52"/>
                                <w:szCs w:val="52"/>
                              </w:rPr>
                            </w:pPr>
                          </w:p>
                        </w:txbxContent>
                      </v:textbox>
                    </v:shape>
                  </w:pict>
                </mc:Fallback>
              </mc:AlternateContent>
            </w:r>
            <w:r>
              <w:rPr>
                <w:rFonts w:ascii="方正小标宋简体" w:hAnsi="Arial" w:eastAsia="方正大标宋简体" w:cs="Arial"/>
                <w:color w:val="FF0000"/>
                <w:w w:val="90"/>
                <w:sz w:val="108"/>
                <w:szCs w:val="108"/>
              </w:rPr>
              <w:t>瑞安市</w:t>
            </w:r>
            <w:r>
              <w:rPr>
                <w:rFonts w:hint="eastAsia" w:ascii="方正小标宋简体" w:hAnsi="Arial" w:eastAsia="方正大标宋简体" w:cs="Arial"/>
                <w:color w:val="FF0000"/>
                <w:w w:val="90"/>
                <w:sz w:val="108"/>
                <w:szCs w:val="108"/>
              </w:rPr>
              <w:t>教育</w:t>
            </w:r>
            <w:r>
              <w:rPr>
                <w:rFonts w:ascii="方正小标宋简体" w:hAnsi="Arial" w:eastAsia="方正大标宋简体" w:cs="Arial"/>
                <w:color w:val="FF0000"/>
                <w:w w:val="90"/>
                <w:sz w:val="108"/>
                <w:szCs w:val="108"/>
              </w:rPr>
              <w:t>局</w:t>
            </w:r>
            <w:r>
              <w:rPr>
                <w:rFonts w:hint="eastAsia" w:ascii="方正小标宋简体" w:hAnsi="Arial" w:eastAsia="方正大标宋简体" w:cs="Arial"/>
                <w:color w:val="FF0000"/>
                <w:w w:val="90"/>
                <w:sz w:val="108"/>
                <w:szCs w:val="108"/>
                <w:lang w:eastAsia="zh-CN"/>
              </w:rPr>
              <w:t>文件</w:t>
            </w:r>
          </w:p>
        </w:tc>
      </w:tr>
    </w:tbl>
    <w:p>
      <w:pPr>
        <w:jc w:val="center"/>
        <w:rPr>
          <w:rFonts w:ascii="Arial" w:hAnsi="Arial" w:cs="Arial"/>
          <w:color w:val="000000"/>
          <w:sz w:val="32"/>
          <w:szCs w:val="32"/>
        </w:rPr>
      </w:pPr>
    </w:p>
    <w:p>
      <w:pPr>
        <w:jc w:val="center"/>
        <w:rPr>
          <w:rFonts w:ascii="仿宋_GB2312" w:hAnsi="Arial" w:eastAsia="仿宋_GB2312" w:cs="Arial"/>
          <w:color w:val="000000"/>
          <w:sz w:val="32"/>
          <w:szCs w:val="32"/>
        </w:rPr>
      </w:pPr>
      <w:bookmarkStart w:id="0" w:name="_GoBack"/>
      <w:r>
        <w:rPr>
          <w:rFonts w:hint="eastAsia" w:ascii="仿宋_GB2312" w:hAnsi="Arial" w:eastAsia="仿宋_GB2312" w:cs="Arial"/>
          <w:color w:val="000000"/>
          <w:sz w:val="32"/>
          <w:szCs w:val="32"/>
        </w:rPr>
        <w:t>瑞教</w:t>
      </w:r>
      <w:r>
        <w:rPr>
          <w:rFonts w:hint="eastAsia" w:ascii="仿宋_GB2312" w:hAnsi="Arial" w:eastAsia="仿宋_GB2312" w:cs="Arial"/>
          <w:color w:val="000000"/>
          <w:sz w:val="32"/>
          <w:szCs w:val="32"/>
          <w:lang w:eastAsia="zh-CN"/>
        </w:rPr>
        <w:t>装</w:t>
      </w:r>
      <w:r>
        <w:rPr>
          <w:rFonts w:hint="eastAsia" w:ascii="仿宋_GB2312" w:hAnsi="Arial" w:eastAsia="仿宋_GB2312" w:cs="Arial"/>
          <w:color w:val="000000"/>
          <w:sz w:val="32"/>
          <w:szCs w:val="32"/>
        </w:rPr>
        <w:t>〔2022〕</w:t>
      </w:r>
      <w:r>
        <w:rPr>
          <w:rFonts w:hint="eastAsia" w:ascii="仿宋_GB2312" w:hAnsi="Arial" w:eastAsia="仿宋_GB2312" w:cs="Arial"/>
          <w:color w:val="000000"/>
          <w:sz w:val="32"/>
          <w:szCs w:val="32"/>
          <w:lang w:val="en-US" w:eastAsia="zh-CN"/>
        </w:rPr>
        <w:t>461</w:t>
      </w:r>
      <w:r>
        <w:rPr>
          <w:rFonts w:hint="eastAsia" w:ascii="仿宋_GB2312" w:hAnsi="Arial" w:eastAsia="仿宋_GB2312" w:cs="Arial"/>
          <w:color w:val="000000"/>
          <w:sz w:val="32"/>
          <w:szCs w:val="32"/>
        </w:rPr>
        <w:t>号</w:t>
      </w:r>
    </w:p>
    <w:bookmarkEnd w:id="0"/>
    <w:p>
      <w:pPr>
        <w:jc w:val="center"/>
        <w:rPr>
          <w:rFonts w:ascii="Arial" w:hAnsi="Arial" w:cs="Arial"/>
          <w:color w:val="000000"/>
          <w:sz w:val="32"/>
          <w:szCs w:val="32"/>
        </w:rPr>
      </w:pPr>
      <w:r>
        <w:rPr>
          <w:rFonts w:ascii="Arial" w:hAnsi="Arial" w:cs="Arial"/>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9525</wp:posOffset>
                </wp:positionV>
                <wp:extent cx="5880100" cy="10795"/>
                <wp:effectExtent l="0" t="31750" r="6350" b="33655"/>
                <wp:wrapNone/>
                <wp:docPr id="3" name="直接箭头连接符 3"/>
                <wp:cNvGraphicFramePr/>
                <a:graphic xmlns:a="http://schemas.openxmlformats.org/drawingml/2006/main">
                  <a:graphicData uri="http://schemas.microsoft.com/office/word/2010/wordprocessingShape">
                    <wps:wsp>
                      <wps:cNvCnPr/>
                      <wps:spPr>
                        <a:xfrm>
                          <a:off x="0" y="0"/>
                          <a:ext cx="5880100" cy="10795"/>
                        </a:xfrm>
                        <a:prstGeom prst="straightConnector1">
                          <a:avLst/>
                        </a:prstGeom>
                        <a:ln w="63500" cap="flat" cmpd="sng">
                          <a:solidFill>
                            <a:srgbClr val="FF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7.7pt;margin-top:0.75pt;height:0.85pt;width:463pt;z-index:251661312;mso-width-relative:page;mso-height-relative:page;" filled="f" stroked="t" coordsize="21600,21600" o:gfxdata="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vjXmtQAAAAHAQAADwAAAAAAAAABACAAAAAiAAAA&#10;ZHJzL2Rvd25yZXYueG1sUEsBAhQAFAAAAAgAh07iQOa0ZYALAgAACQQAAA4AAAAAAAAAAQAgAAAA&#10;IwEAAGRycy9lMm9Eb2MueG1sUEsFBgAAAAAGAAYAWQEAAKAFAAAAAA==&#10;">
                <v:fill on="f" focussize="0,0"/>
                <v:stroke weight="5pt" color="#FF0000" joinstyle="round"/>
                <v:imagedata o:title=""/>
                <o:lock v:ext="edit" aspectratio="f"/>
              </v:shape>
            </w:pict>
          </mc:Fallback>
        </mc:AlternateContent>
      </w:r>
    </w:p>
    <w:p>
      <w:pPr>
        <w:keepNext w:val="0"/>
        <w:keepLines w:val="0"/>
        <w:pageBreakBefore w:val="0"/>
        <w:kinsoku/>
        <w:overflowPunct/>
        <w:topLinePunct w:val="0"/>
        <w:autoSpaceDE/>
        <w:autoSpaceDN/>
        <w:bidi w:val="0"/>
        <w:adjustRightInd/>
        <w:snapToGrid/>
        <w:spacing w:line="500" w:lineRule="exact"/>
        <w:jc w:val="center"/>
        <w:rPr>
          <w:rFonts w:hint="eastAsia" w:ascii="方正小标宋简体" w:hAnsi="Times New Roman" w:eastAsia="方正小标宋简体" w:cs="Times New Roman"/>
          <w:b w:val="0"/>
          <w:bCs w:val="0"/>
          <w:w w:val="100"/>
          <w:sz w:val="44"/>
          <w:szCs w:val="44"/>
          <w:highlight w:val="none"/>
        </w:rPr>
      </w:pPr>
      <w:r>
        <w:rPr>
          <w:rFonts w:hint="eastAsia" w:ascii="方正小标宋简体" w:hAnsi="Times New Roman" w:eastAsia="方正小标宋简体" w:cs="Times New Roman"/>
          <w:b w:val="0"/>
          <w:bCs w:val="0"/>
          <w:w w:val="100"/>
          <w:sz w:val="44"/>
          <w:szCs w:val="44"/>
          <w:highlight w:val="none"/>
        </w:rPr>
        <w:t>关于开展2022年教育信息化项目应用</w:t>
      </w:r>
    </w:p>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44"/>
          <w:szCs w:val="44"/>
        </w:rPr>
      </w:pPr>
      <w:r>
        <w:rPr>
          <w:rFonts w:hint="eastAsia" w:ascii="方正小标宋简体" w:hAnsi="Times New Roman" w:eastAsia="方正小标宋简体" w:cs="Times New Roman"/>
          <w:b w:val="0"/>
          <w:bCs w:val="0"/>
          <w:w w:val="100"/>
          <w:sz w:val="44"/>
          <w:szCs w:val="44"/>
          <w:highlight w:val="none"/>
          <w:lang w:eastAsia="zh-CN"/>
        </w:rPr>
        <w:t>“</w:t>
      </w:r>
      <w:r>
        <w:rPr>
          <w:rFonts w:hint="eastAsia" w:ascii="方正小标宋简体" w:hAnsi="Times New Roman" w:eastAsia="方正小标宋简体" w:cs="Times New Roman"/>
          <w:b w:val="0"/>
          <w:bCs w:val="0"/>
          <w:w w:val="100"/>
          <w:sz w:val="44"/>
          <w:szCs w:val="44"/>
          <w:highlight w:val="none"/>
        </w:rPr>
        <w:t>回头看</w:t>
      </w:r>
      <w:r>
        <w:rPr>
          <w:rFonts w:hint="eastAsia" w:ascii="方正小标宋简体" w:hAnsi="Times New Roman" w:eastAsia="方正小标宋简体" w:cs="Times New Roman"/>
          <w:b w:val="0"/>
          <w:bCs w:val="0"/>
          <w:w w:val="100"/>
          <w:sz w:val="44"/>
          <w:szCs w:val="44"/>
          <w:highlight w:val="none"/>
          <w:lang w:eastAsia="zh-CN"/>
        </w:rPr>
        <w:t>”活动</w:t>
      </w:r>
      <w:r>
        <w:rPr>
          <w:rFonts w:hint="eastAsia" w:ascii="方正小标宋简体" w:hAnsi="Times New Roman" w:eastAsia="方正小标宋简体" w:cs="Times New Roman"/>
          <w:b w:val="0"/>
          <w:bCs w:val="0"/>
          <w:w w:val="100"/>
          <w:sz w:val="44"/>
          <w:szCs w:val="44"/>
          <w:highlight w:val="none"/>
        </w:rPr>
        <w:t>的通知</w:t>
      </w:r>
    </w:p>
    <w:p>
      <w:pPr>
        <w:keepNext w:val="0"/>
        <w:keepLines w:val="0"/>
        <w:pageBreakBefore w:val="0"/>
        <w:widowControl w:val="0"/>
        <w:kinsoku/>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各教育学区、各级各类学校：</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信息化是实现教育现代化的重要保障和必由之路，是促进教育公平、优质、均衡的有效途径，推进教育信息化应用是建设智慧校园和实施数字化改革的重要抓手。为规范项目建设，高水平推进应用，提高资金效益，决定开展信息化项目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活动，有关事项通知如下：</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主要任务</w:t>
      </w:r>
    </w:p>
    <w:p>
      <w:pPr>
        <w:keepNext w:val="0"/>
        <w:keepLines w:val="0"/>
        <w:pageBreakBefore w:val="0"/>
        <w:widowControl w:val="0"/>
        <w:kinsoku/>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教育信息化项目上马后，由专家负责再送一程。一方面及时解决学校在应用推进过程中存在的难点、痛点，确保“用得了，用得好，用出创新，用出成效”。另一方面了解“谁敷衍、谁浪费、谁肯用、谁能用”。对于因人为原因推进缓慢的，要紧盯三年，促其提升。</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检查范围</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单笔硬件设备投入超过15万元、软件或服务超过3万元的信息化项目及其他应用要求高、推进难度大的项目。</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工作</w:t>
      </w:r>
      <w:r>
        <w:rPr>
          <w:rFonts w:hint="eastAsia" w:ascii="黑体" w:hAnsi="黑体" w:eastAsia="黑体" w:cs="黑体"/>
          <w:color w:val="000000"/>
          <w:sz w:val="32"/>
          <w:szCs w:val="32"/>
        </w:rPr>
        <w:t>方式</w:t>
      </w:r>
      <w:r>
        <w:rPr>
          <w:rFonts w:hint="eastAsia" w:ascii="黑体" w:hAnsi="黑体" w:eastAsia="黑体" w:cs="黑体"/>
          <w:color w:val="000000"/>
          <w:sz w:val="32"/>
          <w:szCs w:val="32"/>
          <w:lang w:eastAsia="zh-CN"/>
        </w:rPr>
        <w:t>及流程</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从投入当年</w:t>
      </w:r>
      <w:r>
        <w:rPr>
          <w:rFonts w:hint="eastAsia" w:ascii="仿宋_GB2312" w:hAnsi="仿宋_GB2312" w:eastAsia="仿宋_GB2312" w:cs="仿宋_GB2312"/>
          <w:color w:val="000000"/>
          <w:sz w:val="32"/>
          <w:szCs w:val="32"/>
          <w:lang w:eastAsia="zh-CN"/>
        </w:rPr>
        <w:t>起算</w:t>
      </w:r>
      <w:r>
        <w:rPr>
          <w:rFonts w:hint="eastAsia" w:ascii="仿宋_GB2312" w:hAnsi="仿宋_GB2312" w:eastAsia="仿宋_GB2312" w:cs="仿宋_GB2312"/>
          <w:color w:val="000000"/>
          <w:sz w:val="32"/>
          <w:szCs w:val="32"/>
        </w:rPr>
        <w:t>，连续三年，即项目落地后的三年内，每年一次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常态化开展。瑞安市电化教育与教育装备中心公布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项目，并组织专家到校开展应用情况评估。</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1.公布</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回头看</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项目。</w:t>
      </w:r>
      <w:r>
        <w:rPr>
          <w:rFonts w:hint="eastAsia" w:ascii="仿宋_GB2312" w:hAnsi="仿宋_GB2312" w:eastAsia="仿宋_GB2312" w:cs="仿宋_GB2312"/>
          <w:color w:val="000000"/>
          <w:sz w:val="32"/>
          <w:szCs w:val="32"/>
        </w:rPr>
        <w:t>每年1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月份，由瑞安市电化教育与教育装备中心公布当年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清单</w:t>
      </w:r>
      <w:r>
        <w:rPr>
          <w:rFonts w:hint="eastAsia" w:ascii="仿宋_GB2312" w:hAnsi="仿宋_GB2312" w:eastAsia="仿宋_GB2312" w:cs="仿宋_GB2312"/>
          <w:color w:val="000000"/>
          <w:sz w:val="32"/>
          <w:szCs w:val="32"/>
        </w:rPr>
        <w:t>（见附件1）。</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2.学校提交项目报告。</w:t>
      </w:r>
      <w:r>
        <w:rPr>
          <w:rFonts w:hint="eastAsia" w:ascii="仿宋_GB2312" w:hAnsi="仿宋_GB2312" w:eastAsia="仿宋_GB2312" w:cs="仿宋_GB2312"/>
          <w:color w:val="000000"/>
          <w:sz w:val="32"/>
          <w:szCs w:val="32"/>
        </w:rPr>
        <w:t>每年3月份，学校填报《瑞安市教育信息化应用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项目建设报告》（见附件2）。</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val="en-US" w:eastAsia="zh-CN"/>
        </w:rPr>
        <w:t>3</w:t>
      </w:r>
      <w:r>
        <w:rPr>
          <w:rFonts w:hint="eastAsia" w:ascii="楷体" w:hAnsi="楷体" w:eastAsia="楷体" w:cs="楷体"/>
          <w:color w:val="000000"/>
          <w:sz w:val="32"/>
          <w:szCs w:val="32"/>
        </w:rPr>
        <w:t>.评估。</w:t>
      </w:r>
      <w:r>
        <w:rPr>
          <w:rFonts w:hint="eastAsia" w:ascii="仿宋_GB2312" w:hAnsi="仿宋_GB2312" w:eastAsia="仿宋_GB2312" w:cs="仿宋_GB2312"/>
          <w:color w:val="000000"/>
          <w:sz w:val="32"/>
          <w:szCs w:val="32"/>
        </w:rPr>
        <w:t>每年3-7月份，由瑞安市电化教育与教育装备中心负责组织专家到实地开展教育信息化项目应用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评估。主要</w:t>
      </w:r>
      <w:r>
        <w:rPr>
          <w:rFonts w:hint="eastAsia" w:ascii="仿宋_GB2312" w:hAnsi="仿宋_GB2312" w:eastAsia="仿宋_GB2312" w:cs="仿宋_GB2312"/>
          <w:color w:val="000000"/>
          <w:sz w:val="32"/>
          <w:szCs w:val="32"/>
          <w:lang w:eastAsia="zh-CN"/>
        </w:rPr>
        <w:t>检查</w:t>
      </w:r>
      <w:r>
        <w:rPr>
          <w:rFonts w:hint="eastAsia" w:ascii="仿宋_GB2312" w:hAnsi="仿宋_GB2312" w:eastAsia="仿宋_GB2312" w:cs="仿宋_GB2312"/>
          <w:color w:val="000000"/>
          <w:sz w:val="32"/>
          <w:szCs w:val="32"/>
        </w:rPr>
        <w:t>设备管理、推进举措、使用面和应用达成度（资金效益）。</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四、评估结果</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每年7月底出评估结果，评估结果分优秀、良好、基本达标、不达标四挡，报局党委，并与当年校长考核、次年项目审批挂钩。</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评估结果分优秀、良好的项目，当年校长考核分别加5分、3分，对于不达标的项目，当年校长考核扣5分。</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评估基本达标的项目，次年评估要达到优秀或者良好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评估不达标的项目，责令学校改进工作，争取达标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工作被动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措施</w:t>
      </w:r>
      <w:r>
        <w:rPr>
          <w:rFonts w:hint="eastAsia" w:ascii="仿宋_GB2312" w:hAnsi="仿宋_GB2312" w:eastAsia="仿宋_GB2312" w:cs="仿宋_GB2312"/>
          <w:color w:val="000000"/>
          <w:sz w:val="32"/>
          <w:szCs w:val="32"/>
          <w:lang w:eastAsia="zh-CN"/>
        </w:rPr>
        <w:t>不当</w:t>
      </w:r>
      <w:r>
        <w:rPr>
          <w:rFonts w:hint="eastAsia" w:ascii="仿宋_GB2312" w:hAnsi="仿宋_GB2312" w:eastAsia="仿宋_GB2312" w:cs="仿宋_GB2312"/>
          <w:color w:val="000000"/>
          <w:sz w:val="32"/>
          <w:szCs w:val="32"/>
        </w:rPr>
        <w:t>造成资金浪费的，通报批评并停止两年配备设备资格。</w:t>
      </w:r>
    </w:p>
    <w:p>
      <w:pPr>
        <w:keepNext w:val="0"/>
        <w:keepLines w:val="0"/>
        <w:pageBreakBefore w:val="0"/>
        <w:widowControl w:val="0"/>
        <w:kinsoku/>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overflowPunct/>
        <w:topLinePunct w:val="0"/>
        <w:autoSpaceDE/>
        <w:autoSpaceDN/>
        <w:bidi w:val="0"/>
        <w:adjustRightInd/>
        <w:snapToGrid/>
        <w:spacing w:line="480" w:lineRule="exact"/>
        <w:ind w:firstLine="624"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2022年瑞安市教育信息化应用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项目清单</w:t>
      </w:r>
    </w:p>
    <w:p>
      <w:pPr>
        <w:keepNext w:val="0"/>
        <w:keepLines w:val="0"/>
        <w:pageBreakBefore w:val="0"/>
        <w:widowControl w:val="0"/>
        <w:kinsoku/>
        <w:overflowPunct/>
        <w:topLinePunct w:val="0"/>
        <w:autoSpaceDE/>
        <w:autoSpaceDN/>
        <w:bidi w:val="0"/>
        <w:adjustRightInd/>
        <w:snapToGrid/>
        <w:spacing w:line="480" w:lineRule="exact"/>
        <w:ind w:firstLine="1560" w:firstLineChars="5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瑞安市教育信息化应用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回头看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项目建设报告</w:t>
      </w:r>
    </w:p>
    <w:p>
      <w:pPr>
        <w:keepNext w:val="0"/>
        <w:keepLines w:val="0"/>
        <w:pageBreakBefore w:val="0"/>
        <w:widowControl w:val="0"/>
        <w:kinsoku/>
        <w:overflowPunct/>
        <w:topLinePunct w:val="0"/>
        <w:autoSpaceDE/>
        <w:autoSpaceDN/>
        <w:bidi w:val="0"/>
        <w:adjustRightInd/>
        <w:snapToGrid/>
        <w:spacing w:line="480" w:lineRule="exact"/>
        <w:ind w:firstLine="624" w:firstLineChars="200"/>
        <w:jc w:val="right"/>
        <w:textAlignment w:val="auto"/>
        <w:rPr>
          <w:rFonts w:hint="eastAsia" w:ascii="仿宋_GB2312" w:hAnsi="仿宋_GB2312" w:eastAsia="仿宋_GB2312" w:cs="仿宋_GB2312"/>
          <w:color w:val="000000"/>
          <w:sz w:val="32"/>
          <w:szCs w:val="32"/>
        </w:rPr>
      </w:pPr>
    </w:p>
    <w:p>
      <w:pPr>
        <w:pStyle w:val="2"/>
        <w:rPr>
          <w:rFonts w:hint="eastAsia"/>
        </w:rPr>
      </w:pPr>
    </w:p>
    <w:p>
      <w:pPr>
        <w:keepNext w:val="0"/>
        <w:keepLines w:val="0"/>
        <w:pageBreakBefore w:val="0"/>
        <w:widowControl w:val="0"/>
        <w:kinsoku/>
        <w:wordWrap w:val="0"/>
        <w:overflowPunct/>
        <w:topLinePunct w:val="0"/>
        <w:autoSpaceDE/>
        <w:autoSpaceDN/>
        <w:bidi w:val="0"/>
        <w:adjustRightInd/>
        <w:snapToGrid/>
        <w:spacing w:line="480" w:lineRule="exact"/>
        <w:ind w:firstLine="5304" w:firstLineChars="17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瑞安市教育局</w:t>
      </w:r>
    </w:p>
    <w:p>
      <w:pPr>
        <w:keepNext w:val="0"/>
        <w:keepLines w:val="0"/>
        <w:pageBreakBefore w:val="0"/>
        <w:widowControl w:val="0"/>
        <w:kinsoku/>
        <w:overflowPunct/>
        <w:topLinePunct w:val="0"/>
        <w:autoSpaceDE/>
        <w:autoSpaceDN/>
        <w:bidi w:val="0"/>
        <w:adjustRightInd/>
        <w:snapToGrid/>
        <w:spacing w:line="480" w:lineRule="exact"/>
        <w:ind w:firstLine="4992" w:firstLineChars="16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2022年1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w:t>
      </w:r>
    </w:p>
    <w:p>
      <w:pPr>
        <w:keepNext w:val="0"/>
        <w:keepLines w:val="0"/>
        <w:pageBreakBefore w:val="0"/>
        <w:widowControl/>
        <w:kinsoku/>
        <w:overflowPunct/>
        <w:topLinePunct w:val="0"/>
        <w:autoSpaceDE/>
        <w:autoSpaceDN/>
        <w:bidi w:val="0"/>
        <w:adjustRightInd/>
        <w:snapToGrid/>
        <w:spacing w:line="500" w:lineRule="exact"/>
        <w:jc w:val="left"/>
        <w:rPr>
          <w:rFonts w:hint="eastAsia" w:ascii="黑体" w:hAnsi="黑体" w:eastAsia="黑体" w:cs="黑体"/>
          <w:b w:val="0"/>
          <w:bCs/>
          <w:color w:val="000000"/>
          <w:kern w:val="0"/>
          <w:sz w:val="32"/>
          <w:szCs w:val="32"/>
          <w:lang w:bidi="ar"/>
        </w:rPr>
      </w:pPr>
      <w:r>
        <w:rPr>
          <w:rFonts w:hint="eastAsia" w:ascii="黑体" w:hAnsi="黑体" w:eastAsia="黑体" w:cs="黑体"/>
          <w:b w:val="0"/>
          <w:bCs/>
          <w:color w:val="000000"/>
          <w:kern w:val="0"/>
          <w:sz w:val="32"/>
          <w:szCs w:val="32"/>
          <w:lang w:bidi="ar"/>
        </w:rPr>
        <w:t>附件1</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6"/>
          <w:szCs w:val="36"/>
        </w:rPr>
      </w:pPr>
    </w:p>
    <w:p>
      <w:pPr>
        <w:keepNext w:val="0"/>
        <w:keepLines w:val="0"/>
        <w:pageBreakBefore w:val="0"/>
        <w:widowControl w:val="0"/>
        <w:tabs>
          <w:tab w:val="left" w:pos="1827"/>
        </w:tabs>
        <w:kinsoku/>
        <w:wordWrap/>
        <w:overflowPunct/>
        <w:topLinePunct w:val="0"/>
        <w:autoSpaceDE/>
        <w:autoSpaceDN/>
        <w:bidi w:val="0"/>
        <w:adjustRightInd/>
        <w:snapToGrid/>
        <w:spacing w:line="600" w:lineRule="exact"/>
        <w:ind w:firstLine="704" w:firstLineChars="200"/>
        <w:jc w:val="both"/>
        <w:textAlignment w:val="auto"/>
        <w:rPr>
          <w:rFonts w:hint="eastAsia" w:ascii="方正小标宋简体" w:hAnsi="方正小标宋简体" w:eastAsia="方正小标宋简体" w:cs="方正小标宋简体"/>
          <w:b w:val="0"/>
          <w:bCs/>
          <w:color w:val="000000"/>
          <w:kern w:val="0"/>
          <w:sz w:val="36"/>
          <w:szCs w:val="36"/>
          <w:lang w:bidi="ar"/>
        </w:rPr>
      </w:pPr>
      <w:r>
        <w:rPr>
          <w:rFonts w:hint="eastAsia" w:ascii="方正小标宋简体" w:hAnsi="方正小标宋简体" w:eastAsia="方正小标宋简体" w:cs="方正小标宋简体"/>
          <w:b w:val="0"/>
          <w:bCs/>
          <w:color w:val="000000"/>
          <w:kern w:val="0"/>
          <w:sz w:val="36"/>
          <w:szCs w:val="36"/>
          <w:lang w:bidi="ar"/>
        </w:rPr>
        <w:t>2022年瑞安市教育信息化应用</w:t>
      </w:r>
      <w:r>
        <w:rPr>
          <w:rFonts w:hint="eastAsia" w:ascii="方正小标宋简体" w:hAnsi="方正小标宋简体" w:eastAsia="方正小标宋简体" w:cs="方正小标宋简体"/>
          <w:b w:val="0"/>
          <w:bCs/>
          <w:color w:val="000000"/>
          <w:kern w:val="0"/>
          <w:sz w:val="36"/>
          <w:szCs w:val="36"/>
          <w:lang w:eastAsia="zh-CN" w:bidi="ar"/>
        </w:rPr>
        <w:t>“</w:t>
      </w:r>
      <w:r>
        <w:rPr>
          <w:rFonts w:hint="eastAsia" w:ascii="方正小标宋简体" w:hAnsi="方正小标宋简体" w:eastAsia="方正小标宋简体" w:cs="方正小标宋简体"/>
          <w:b w:val="0"/>
          <w:bCs/>
          <w:color w:val="000000"/>
          <w:kern w:val="0"/>
          <w:sz w:val="36"/>
          <w:szCs w:val="36"/>
          <w:lang w:bidi="ar"/>
        </w:rPr>
        <w:t>回头看</w:t>
      </w:r>
      <w:r>
        <w:rPr>
          <w:rFonts w:hint="eastAsia" w:ascii="方正小标宋简体" w:hAnsi="方正小标宋简体" w:eastAsia="方正小标宋简体" w:cs="方正小标宋简体"/>
          <w:b w:val="0"/>
          <w:bCs/>
          <w:color w:val="000000"/>
          <w:kern w:val="0"/>
          <w:sz w:val="36"/>
          <w:szCs w:val="36"/>
          <w:lang w:eastAsia="zh-CN" w:bidi="ar"/>
        </w:rPr>
        <w:t>”</w:t>
      </w:r>
      <w:r>
        <w:rPr>
          <w:rFonts w:hint="eastAsia" w:ascii="方正小标宋简体" w:hAnsi="方正小标宋简体" w:eastAsia="方正小标宋简体" w:cs="方正小标宋简体"/>
          <w:b w:val="0"/>
          <w:bCs/>
          <w:color w:val="000000"/>
          <w:kern w:val="0"/>
          <w:sz w:val="36"/>
          <w:szCs w:val="36"/>
          <w:lang w:bidi="ar"/>
        </w:rPr>
        <w:t>项目清单</w:t>
      </w:r>
    </w:p>
    <w:tbl>
      <w:tblPr>
        <w:tblStyle w:val="7"/>
        <w:tblpPr w:leftFromText="180" w:rightFromText="180" w:vertAnchor="text" w:horzAnchor="page" w:tblpXSpec="center" w:tblpY="304"/>
        <w:tblOverlap w:val="never"/>
        <w:tblW w:w="82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3315"/>
        <w:gridCol w:w="2235"/>
        <w:gridCol w:w="2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blHeader/>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overflowPunct/>
              <w:topLinePunct w:val="0"/>
              <w:autoSpaceDE/>
              <w:autoSpaceDN/>
              <w:bidi w:val="0"/>
              <w:adjustRightInd/>
              <w:snapToGrid/>
              <w:spacing w:line="500" w:lineRule="exact"/>
              <w:jc w:val="center"/>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序号</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学校名称</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项目名称</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33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瑞安市陶山镇荆谷学校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智慧校园</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3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155651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瑞安市塘下镇中心小学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智慧校园</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瑞安市第二中学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LED设备</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瑞安市安阳实验中学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教育装备更新</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瑞安市塘下镇鲍田中学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新建校舍配套经费</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4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33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智慧校园</w:t>
            </w:r>
          </w:p>
        </w:tc>
        <w:tc>
          <w:tcPr>
            <w:tcW w:w="208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jc w:val="center"/>
        </w:trPr>
        <w:tc>
          <w:tcPr>
            <w:tcW w:w="64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rPr>
            </w:pPr>
          </w:p>
        </w:tc>
        <w:tc>
          <w:tcPr>
            <w:tcW w:w="331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w:t>
            </w:r>
          </w:p>
        </w:tc>
        <w:tc>
          <w:tcPr>
            <w:tcW w:w="2086"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jc w:val="center"/>
        </w:trPr>
        <w:tc>
          <w:tcPr>
            <w:tcW w:w="64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rPr>
            </w:pPr>
          </w:p>
        </w:tc>
        <w:tc>
          <w:tcPr>
            <w:tcW w:w="33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169139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瑞安市第五中学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新建校舍配套经费</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瑞安市塘下镇罗凤第三小学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智慧校园</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瑞安市罗凤中学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177804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瑞安市林垟学校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瑞安市第六中学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331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瑞安市第五中学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31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156858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瑞安市安阳实验小学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交互式一体机</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瑞安市第二中学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交互式一体机</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瑞安市第四中学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交互式一体机</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瑞安市塘下镇中心小学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交互式一体机</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瑞安市农技校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交互式一体机</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283750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瑞安市玉海中心小学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交互式一体机</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浙江省瑞安中学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157420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瑞安市第二中学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瑞安市广场实验小学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瑞安市广场中学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瑞安市红旗实验小学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169428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瑞安市解放路小学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169663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瑞安市玉海实验中学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188233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瑞安市安阳实验小学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瑞安市瑞祥实验学校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174188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瑞安市职业中等学校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205638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瑞安市莘塍中心小学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瑞安市莘塍第三实验小学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瑞安市汀田第一中学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瑞安市塘下镇鲍七小学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瑞安市塘下镇第一中学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348376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瑞安市塘下镇海安学校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瑞安市塘下镇罗凤二小</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177068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瑞安市塘下镇罗凤中学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169898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瑞安市塘下镇新华小学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瑞安市塘下镇新华中学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166608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瑞安市飞云二小</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187293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 xml:space="preserve">瑞安市飞云中心小学 </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瑞安市飞云中学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161393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瑞安市侨贸学校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瑞安市仙降二小</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154078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 xml:space="preserve">瑞安市云周中心小学 </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瑞安市马屿镇中心小学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瑞安市梅屿中学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163538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瑞安市高楼镇中学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150718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瑞安市林川镇中学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学生机房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瑞安市外国语小学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186251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瑞安市汀田第三小学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173851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瑞安市汀田第三中学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189133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瑞安市塘下镇下林小学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174651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瑞安市曹村镇学校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177731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瑞安市隆山实验小学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瑞安市上望第五小学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160691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瑞安市马鞍山实验小学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云桌面机房</w:t>
            </w:r>
          </w:p>
        </w:tc>
        <w:tc>
          <w:tcPr>
            <w:tcW w:w="2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179651</w:t>
            </w:r>
          </w:p>
        </w:tc>
      </w:tr>
    </w:tbl>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b/>
          <w:color w:val="000000"/>
          <w:kern w:val="0"/>
          <w:sz w:val="32"/>
          <w:szCs w:val="32"/>
          <w:lang w:bidi="ar"/>
        </w:rPr>
      </w:pPr>
    </w:p>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br w:type="page"/>
      </w:r>
    </w:p>
    <w:p>
      <w:pPr>
        <w:keepNext w:val="0"/>
        <w:keepLines w:val="0"/>
        <w:pageBreakBefore w:val="0"/>
        <w:kinsoku/>
        <w:overflowPunct/>
        <w:topLinePunct w:val="0"/>
        <w:autoSpaceDE/>
        <w:autoSpaceDN/>
        <w:bidi w:val="0"/>
        <w:adjustRightInd/>
        <w:snapToGrid/>
        <w:spacing w:line="500" w:lineRule="exact"/>
        <w:jc w:val="left"/>
        <w:rPr>
          <w:rFonts w:hint="eastAsia" w:ascii="黑体" w:hAnsi="黑体" w:eastAsia="黑体" w:cs="黑体"/>
          <w:b w:val="0"/>
          <w:bCs/>
          <w:kern w:val="2"/>
          <w:sz w:val="32"/>
          <w:szCs w:val="32"/>
          <w:lang w:val="en-US" w:eastAsia="zh-CN" w:bidi="ar-SA"/>
        </w:rPr>
      </w:pPr>
      <w:r>
        <w:rPr>
          <w:rFonts w:hint="eastAsia" w:ascii="黑体" w:hAnsi="黑体" w:eastAsia="黑体" w:cs="黑体"/>
          <w:b w:val="0"/>
          <w:bCs/>
          <w:color w:val="000000"/>
          <w:kern w:val="0"/>
          <w:sz w:val="32"/>
          <w:szCs w:val="32"/>
          <w:lang w:bidi="ar"/>
        </w:rPr>
        <w:t>附件2</w:t>
      </w:r>
    </w:p>
    <w:tbl>
      <w:tblPr>
        <w:tblStyle w:val="7"/>
        <w:tblW w:w="8924" w:type="dxa"/>
        <w:tblInd w:w="0" w:type="dxa"/>
        <w:tblLayout w:type="fixed"/>
        <w:tblCellMar>
          <w:top w:w="0" w:type="dxa"/>
          <w:left w:w="0" w:type="dxa"/>
          <w:bottom w:w="0" w:type="dxa"/>
          <w:right w:w="0" w:type="dxa"/>
        </w:tblCellMar>
      </w:tblPr>
      <w:tblGrid>
        <w:gridCol w:w="1815"/>
        <w:gridCol w:w="2753"/>
        <w:gridCol w:w="1798"/>
        <w:gridCol w:w="2558"/>
      </w:tblGrid>
      <w:tr>
        <w:tblPrEx>
          <w:tblCellMar>
            <w:top w:w="0" w:type="dxa"/>
            <w:left w:w="0" w:type="dxa"/>
            <w:bottom w:w="0" w:type="dxa"/>
            <w:right w:w="0" w:type="dxa"/>
          </w:tblCellMar>
        </w:tblPrEx>
        <w:trPr>
          <w:trHeight w:val="600" w:hRule="atLeast"/>
        </w:trPr>
        <w:tc>
          <w:tcPr>
            <w:tcW w:w="8924"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kern w:val="0"/>
                <w:sz w:val="32"/>
                <w:szCs w:val="32"/>
                <w:lang w:bidi="ar"/>
              </w:rPr>
              <w:t>瑞安市教育信息化应用</w:t>
            </w:r>
            <w:r>
              <w:rPr>
                <w:rFonts w:hint="eastAsia" w:ascii="方正小标宋简体" w:hAnsi="方正小标宋简体" w:eastAsia="方正小标宋简体" w:cs="方正小标宋简体"/>
                <w:b w:val="0"/>
                <w:bCs/>
                <w:color w:val="000000"/>
                <w:kern w:val="0"/>
                <w:sz w:val="32"/>
                <w:szCs w:val="32"/>
                <w:lang w:eastAsia="zh-CN" w:bidi="ar"/>
              </w:rPr>
              <w:t>“</w:t>
            </w:r>
            <w:r>
              <w:rPr>
                <w:rFonts w:hint="eastAsia" w:ascii="方正小标宋简体" w:hAnsi="方正小标宋简体" w:eastAsia="方正小标宋简体" w:cs="方正小标宋简体"/>
                <w:b w:val="0"/>
                <w:bCs/>
                <w:color w:val="000000"/>
                <w:kern w:val="0"/>
                <w:sz w:val="32"/>
                <w:szCs w:val="32"/>
                <w:lang w:bidi="ar"/>
              </w:rPr>
              <w:t>回头看</w:t>
            </w:r>
            <w:r>
              <w:rPr>
                <w:rFonts w:hint="eastAsia" w:ascii="方正小标宋简体" w:hAnsi="方正小标宋简体" w:eastAsia="方正小标宋简体" w:cs="方正小标宋简体"/>
                <w:b w:val="0"/>
                <w:bCs/>
                <w:color w:val="000000"/>
                <w:kern w:val="0"/>
                <w:sz w:val="32"/>
                <w:szCs w:val="32"/>
                <w:lang w:eastAsia="zh-CN" w:bidi="ar"/>
              </w:rPr>
              <w:t>”</w:t>
            </w:r>
            <w:r>
              <w:rPr>
                <w:rFonts w:hint="eastAsia" w:ascii="方正小标宋简体" w:hAnsi="方正小标宋简体" w:eastAsia="方正小标宋简体" w:cs="方正小标宋简体"/>
                <w:b w:val="0"/>
                <w:bCs/>
                <w:color w:val="000000"/>
                <w:kern w:val="0"/>
                <w:sz w:val="32"/>
                <w:szCs w:val="32"/>
                <w:lang w:bidi="ar"/>
              </w:rPr>
              <w:t>项目建设报告</w:t>
            </w:r>
          </w:p>
        </w:tc>
      </w:tr>
      <w:tr>
        <w:tblPrEx>
          <w:tblCellMar>
            <w:top w:w="0" w:type="dxa"/>
            <w:left w:w="0" w:type="dxa"/>
            <w:bottom w:w="0" w:type="dxa"/>
            <w:right w:w="0" w:type="dxa"/>
          </w:tblCellMar>
        </w:tblPrEx>
        <w:trPr>
          <w:trHeight w:val="460" w:hRule="atLeast"/>
        </w:trPr>
        <w:tc>
          <w:tcPr>
            <w:tcW w:w="181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c>
          <w:tcPr>
            <w:tcW w:w="2753"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rPr>
                <w:rFonts w:hint="eastAsia" w:ascii="仿宋_GB2312" w:hAnsi="仿宋_GB2312" w:eastAsia="仿宋_GB2312" w:cs="仿宋_GB2312"/>
                <w:color w:val="000000"/>
                <w:sz w:val="24"/>
                <w:szCs w:val="24"/>
              </w:rPr>
            </w:pPr>
          </w:p>
        </w:tc>
        <w:tc>
          <w:tcPr>
            <w:tcW w:w="179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申报建设</w:t>
            </w:r>
            <w:r>
              <w:rPr>
                <w:rFonts w:hint="eastAsia" w:ascii="仿宋_GB2312" w:hAnsi="仿宋_GB2312" w:eastAsia="仿宋_GB2312" w:cs="仿宋_GB2312"/>
                <w:color w:val="000000"/>
                <w:sz w:val="24"/>
                <w:szCs w:val="24"/>
              </w:rPr>
              <w:t>时间：</w:t>
            </w:r>
          </w:p>
        </w:tc>
        <w:tc>
          <w:tcPr>
            <w:tcW w:w="255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学校</w:t>
            </w: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项目名称</w:t>
            </w:r>
          </w:p>
        </w:tc>
        <w:tc>
          <w:tcPr>
            <w:tcW w:w="2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00" w:hRule="atLeast"/>
        </w:trPr>
        <w:tc>
          <w:tcPr>
            <w:tcW w:w="18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投入资金</w:t>
            </w:r>
          </w:p>
        </w:tc>
        <w:tc>
          <w:tcPr>
            <w:tcW w:w="2753"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c>
          <w:tcPr>
            <w:tcW w:w="179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项目负责人</w:t>
            </w:r>
          </w:p>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及联系方式</w:t>
            </w:r>
          </w:p>
        </w:tc>
        <w:tc>
          <w:tcPr>
            <w:tcW w:w="25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2266" w:hRule="atLeast"/>
        </w:trPr>
        <w:tc>
          <w:tcPr>
            <w:tcW w:w="1815"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项目简介</w:t>
            </w:r>
          </w:p>
        </w:tc>
        <w:tc>
          <w:tcPr>
            <w:tcW w:w="7109"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6431" w:hRule="atLeast"/>
        </w:trPr>
        <w:tc>
          <w:tcPr>
            <w:tcW w:w="18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推进措施</w:t>
            </w:r>
          </w:p>
        </w:tc>
        <w:tc>
          <w:tcPr>
            <w:tcW w:w="7109"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1678"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效益</w:t>
            </w:r>
          </w:p>
        </w:tc>
        <w:tc>
          <w:tcPr>
            <w:tcW w:w="71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1666"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与计划的达成度</w:t>
            </w:r>
          </w:p>
        </w:tc>
        <w:tc>
          <w:tcPr>
            <w:tcW w:w="71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line="500" w:lineRule="exact"/>
              <w:jc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2574"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校长意见</w:t>
            </w:r>
          </w:p>
        </w:tc>
        <w:tc>
          <w:tcPr>
            <w:tcW w:w="71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overflowPunct/>
              <w:topLinePunct w:val="0"/>
              <w:autoSpaceDE/>
              <w:autoSpaceDN/>
              <w:bidi w:val="0"/>
              <w:adjustRightInd/>
              <w:snapToGrid/>
              <w:spacing w:line="500" w:lineRule="exact"/>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r>
        <w:tblPrEx>
          <w:tblCellMar>
            <w:top w:w="0" w:type="dxa"/>
            <w:left w:w="0" w:type="dxa"/>
            <w:bottom w:w="0" w:type="dxa"/>
            <w:right w:w="0" w:type="dxa"/>
          </w:tblCellMar>
        </w:tblPrEx>
        <w:trPr>
          <w:trHeight w:val="609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专家验收意见</w:t>
            </w:r>
          </w:p>
        </w:tc>
        <w:tc>
          <w:tcPr>
            <w:tcW w:w="71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overflowPunct/>
              <w:topLinePunct w:val="0"/>
              <w:autoSpaceDE/>
              <w:autoSpaceDN/>
              <w:bidi w:val="0"/>
              <w:adjustRightInd/>
              <w:snapToGrid/>
              <w:spacing w:line="500" w:lineRule="exact"/>
              <w:jc w:val="righ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bl>
    <w:p>
      <w:pPr>
        <w:keepNext w:val="0"/>
        <w:keepLines w:val="0"/>
        <w:pageBreakBefore w:val="0"/>
        <w:kinsoku/>
        <w:overflowPunct/>
        <w:topLinePunct w:val="0"/>
        <w:autoSpaceDE/>
        <w:autoSpaceDN/>
        <w:bidi w:val="0"/>
        <w:adjustRightInd/>
        <w:snapToGrid/>
        <w:spacing w:line="5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u w:val="none"/>
        </w:rPr>
        <w:t>本表请于每年3月10日前上报radhjy@163.com。</w:t>
      </w: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p>
      <w:pPr>
        <w:ind w:firstLine="202" w:firstLineChars="100"/>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365125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75pt;height:0pt;width:442.2pt;z-index:251663360;mso-width-relative:page;mso-height-relative:page;" filled="f" stroked="t" coordsize="21600,21600" o:gfxdata="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aTlR1gAAAAYBAAAPAAAAAAAAAAEAIAAAACIAAABkcnMvZG93bnJldi54bWxQ&#10;SwECFAAUAAAACACHTuJA7lrQN/kBAADzAwAADgAAAAAAAAABACAAAAAlAQAAZHJzL2Uyb0RvYy54&#10;bWxQSwUGAAAAAAYABgBZAQAAkAU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2pt;z-index:251664384;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Am070wAAAAIBAAAPAAAAAAAAAAEAIAAAACIAAABkcnMvZG93bnJldi54bWxQSwEC&#10;FAAUAAAACACHTuJAOS2N/PkBAADzAwAADgAAAAAAAAABACAAAAAiAQAAZHJzL2Uyb0RvYy54bWxQ&#10;SwUGAAAAAAYABgBZAQAAjQU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 xml:space="preserve">瑞安市教育局办公室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20</w:t>
      </w:r>
      <w:r>
        <w:rPr>
          <w:rFonts w:hint="eastAsia" w:ascii="仿宋_GB2312" w:hAnsi="宋体" w:eastAsia="仿宋_GB2312"/>
          <w:sz w:val="28"/>
          <w:szCs w:val="28"/>
          <w:lang w:val="en-US" w:eastAsia="zh-CN"/>
        </w:rPr>
        <w:t>22</w:t>
      </w:r>
      <w:r>
        <w:rPr>
          <w:rFonts w:hint="eastAsia" w:ascii="仿宋_GB2312" w:hAnsi="宋体" w:eastAsia="仿宋_GB2312"/>
          <w:sz w:val="28"/>
          <w:szCs w:val="28"/>
        </w:rPr>
        <w:t>年</w:t>
      </w:r>
      <w:r>
        <w:rPr>
          <w:rFonts w:hint="eastAsia" w:ascii="仿宋_GB2312" w:hAnsi="宋体" w:eastAsia="仿宋_GB2312"/>
          <w:sz w:val="28"/>
          <w:szCs w:val="28"/>
          <w:lang w:val="en-US" w:eastAsia="zh-CN"/>
        </w:rPr>
        <w:t>12</w:t>
      </w:r>
      <w:r>
        <w:rPr>
          <w:rFonts w:hint="eastAsia" w:ascii="仿宋_GB2312" w:hAnsi="宋体" w:eastAsia="仿宋_GB2312"/>
          <w:sz w:val="28"/>
          <w:szCs w:val="28"/>
        </w:rPr>
        <w:t>月</w:t>
      </w:r>
      <w:r>
        <w:rPr>
          <w:rFonts w:hint="eastAsia" w:ascii="仿宋_GB2312" w:hAnsi="宋体" w:eastAsia="仿宋_GB2312"/>
          <w:sz w:val="28"/>
          <w:szCs w:val="28"/>
          <w:lang w:val="en-US" w:eastAsia="zh-CN"/>
        </w:rPr>
        <w:t>16</w:t>
      </w:r>
      <w:r>
        <w:rPr>
          <w:rFonts w:hint="eastAsia" w:ascii="仿宋_GB2312" w:hAnsi="宋体" w:eastAsia="仿宋_GB2312"/>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587" w:gutter="0"/>
      <w:paperSrc/>
      <w:pgBorders>
        <w:top w:val="none" w:sz="0" w:space="0"/>
        <w:left w:val="none" w:sz="0" w:space="0"/>
        <w:bottom w:val="none" w:sz="0" w:space="0"/>
        <w:right w:val="none" w:sz="0" w:space="0"/>
      </w:pgBorders>
      <w:pgNumType w:fmt="numberInDash"/>
      <w:cols w:space="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Univers">
    <w:panose1 w:val="020B0603020202030204"/>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MmU1OTNjYTNkODE3MmNhYmU3ZTNlZGQ5OTA5NzgifQ=="/>
  </w:docVars>
  <w:rsids>
    <w:rsidRoot w:val="00BB5320"/>
    <w:rsid w:val="00096F51"/>
    <w:rsid w:val="0010386B"/>
    <w:rsid w:val="001955E4"/>
    <w:rsid w:val="00206E06"/>
    <w:rsid w:val="00233100"/>
    <w:rsid w:val="002669B8"/>
    <w:rsid w:val="002737DC"/>
    <w:rsid w:val="00296AA9"/>
    <w:rsid w:val="002D5898"/>
    <w:rsid w:val="002E6518"/>
    <w:rsid w:val="007C08A8"/>
    <w:rsid w:val="007C2CDB"/>
    <w:rsid w:val="00866D3D"/>
    <w:rsid w:val="00983B4D"/>
    <w:rsid w:val="00BB5320"/>
    <w:rsid w:val="00C55A21"/>
    <w:rsid w:val="00CA10BB"/>
    <w:rsid w:val="00DA0061"/>
    <w:rsid w:val="019A01CF"/>
    <w:rsid w:val="03631ED2"/>
    <w:rsid w:val="039F701A"/>
    <w:rsid w:val="03BF5061"/>
    <w:rsid w:val="06420FD7"/>
    <w:rsid w:val="06422F63"/>
    <w:rsid w:val="065A18E0"/>
    <w:rsid w:val="072A3B3A"/>
    <w:rsid w:val="077D687B"/>
    <w:rsid w:val="087B7B45"/>
    <w:rsid w:val="08E1553B"/>
    <w:rsid w:val="08FB0B3A"/>
    <w:rsid w:val="09251178"/>
    <w:rsid w:val="09702A0A"/>
    <w:rsid w:val="0B444D3D"/>
    <w:rsid w:val="0B500A3E"/>
    <w:rsid w:val="0B6F7CFD"/>
    <w:rsid w:val="0BF027CF"/>
    <w:rsid w:val="0C4A7ACA"/>
    <w:rsid w:val="0CD27708"/>
    <w:rsid w:val="0E0C14B5"/>
    <w:rsid w:val="0EEC4147"/>
    <w:rsid w:val="0FD92AD3"/>
    <w:rsid w:val="0FE079C8"/>
    <w:rsid w:val="108560AC"/>
    <w:rsid w:val="10C36704"/>
    <w:rsid w:val="11E104C8"/>
    <w:rsid w:val="125B6C2A"/>
    <w:rsid w:val="12CA0A05"/>
    <w:rsid w:val="1359685A"/>
    <w:rsid w:val="13B46CBA"/>
    <w:rsid w:val="1420214A"/>
    <w:rsid w:val="14CA0BAC"/>
    <w:rsid w:val="160754E6"/>
    <w:rsid w:val="1698275A"/>
    <w:rsid w:val="17077819"/>
    <w:rsid w:val="174F5932"/>
    <w:rsid w:val="1C2F282F"/>
    <w:rsid w:val="1C310B47"/>
    <w:rsid w:val="1C406EEF"/>
    <w:rsid w:val="1E2173C5"/>
    <w:rsid w:val="1EFE7976"/>
    <w:rsid w:val="21454DDE"/>
    <w:rsid w:val="219848CD"/>
    <w:rsid w:val="23EE6769"/>
    <w:rsid w:val="24577ECD"/>
    <w:rsid w:val="261C48D0"/>
    <w:rsid w:val="26272D81"/>
    <w:rsid w:val="26FB396A"/>
    <w:rsid w:val="28CF5C2A"/>
    <w:rsid w:val="290E18F7"/>
    <w:rsid w:val="2B1E5F11"/>
    <w:rsid w:val="2B4D40B0"/>
    <w:rsid w:val="2C8B013C"/>
    <w:rsid w:val="2E2B64AD"/>
    <w:rsid w:val="2E7247B7"/>
    <w:rsid w:val="2EE1627B"/>
    <w:rsid w:val="30E36890"/>
    <w:rsid w:val="30ED19FC"/>
    <w:rsid w:val="31DD2545"/>
    <w:rsid w:val="32662FC7"/>
    <w:rsid w:val="32972602"/>
    <w:rsid w:val="32EB0C7A"/>
    <w:rsid w:val="3331622F"/>
    <w:rsid w:val="33D9280B"/>
    <w:rsid w:val="344B254D"/>
    <w:rsid w:val="353F2A0E"/>
    <w:rsid w:val="357926F8"/>
    <w:rsid w:val="37455B2B"/>
    <w:rsid w:val="39206AB8"/>
    <w:rsid w:val="3A692226"/>
    <w:rsid w:val="3B0474FF"/>
    <w:rsid w:val="3B417065"/>
    <w:rsid w:val="3C6504EB"/>
    <w:rsid w:val="3CBD666B"/>
    <w:rsid w:val="3DF84581"/>
    <w:rsid w:val="4286797E"/>
    <w:rsid w:val="43A5621D"/>
    <w:rsid w:val="460E24EB"/>
    <w:rsid w:val="46C05CE2"/>
    <w:rsid w:val="48735D3E"/>
    <w:rsid w:val="4998200D"/>
    <w:rsid w:val="4A1059B6"/>
    <w:rsid w:val="4A180A06"/>
    <w:rsid w:val="4A4D50A3"/>
    <w:rsid w:val="4A8A736F"/>
    <w:rsid w:val="4A951FBB"/>
    <w:rsid w:val="4BEA06F8"/>
    <w:rsid w:val="4C6008DF"/>
    <w:rsid w:val="4C7177B2"/>
    <w:rsid w:val="4DA12D13"/>
    <w:rsid w:val="4F952A3E"/>
    <w:rsid w:val="4FC82568"/>
    <w:rsid w:val="50735C41"/>
    <w:rsid w:val="511E46CE"/>
    <w:rsid w:val="51821249"/>
    <w:rsid w:val="518F232F"/>
    <w:rsid w:val="51C126C3"/>
    <w:rsid w:val="538879F8"/>
    <w:rsid w:val="53CB37D0"/>
    <w:rsid w:val="548E3F00"/>
    <w:rsid w:val="552A59F7"/>
    <w:rsid w:val="56543F29"/>
    <w:rsid w:val="568675E7"/>
    <w:rsid w:val="57A45DFE"/>
    <w:rsid w:val="589B7074"/>
    <w:rsid w:val="59A136CC"/>
    <w:rsid w:val="5A477E46"/>
    <w:rsid w:val="5AB521E6"/>
    <w:rsid w:val="5B2918FE"/>
    <w:rsid w:val="5D7F6ADB"/>
    <w:rsid w:val="5DEF33FB"/>
    <w:rsid w:val="5E50202A"/>
    <w:rsid w:val="5EC953DB"/>
    <w:rsid w:val="5EE5404F"/>
    <w:rsid w:val="605B691F"/>
    <w:rsid w:val="63DE41E0"/>
    <w:rsid w:val="645C36D2"/>
    <w:rsid w:val="649C6869"/>
    <w:rsid w:val="651C0FB2"/>
    <w:rsid w:val="659B28CD"/>
    <w:rsid w:val="66B175BA"/>
    <w:rsid w:val="68022B8D"/>
    <w:rsid w:val="68AA2881"/>
    <w:rsid w:val="68D12836"/>
    <w:rsid w:val="68FD3330"/>
    <w:rsid w:val="692215CA"/>
    <w:rsid w:val="6AE35A28"/>
    <w:rsid w:val="6B395774"/>
    <w:rsid w:val="6B573D25"/>
    <w:rsid w:val="6BD7270E"/>
    <w:rsid w:val="6C9E161A"/>
    <w:rsid w:val="6DDC55F1"/>
    <w:rsid w:val="6E322C09"/>
    <w:rsid w:val="70DB471C"/>
    <w:rsid w:val="713A00FE"/>
    <w:rsid w:val="72A54949"/>
    <w:rsid w:val="73032CF8"/>
    <w:rsid w:val="73CB441C"/>
    <w:rsid w:val="73E52E75"/>
    <w:rsid w:val="743C2FB3"/>
    <w:rsid w:val="7443040B"/>
    <w:rsid w:val="75FC1D2A"/>
    <w:rsid w:val="76006D80"/>
    <w:rsid w:val="766B4501"/>
    <w:rsid w:val="7754336C"/>
    <w:rsid w:val="77AF4A45"/>
    <w:rsid w:val="78BA0B81"/>
    <w:rsid w:val="78D13842"/>
    <w:rsid w:val="78F359B9"/>
    <w:rsid w:val="790C75F5"/>
    <w:rsid w:val="794000C3"/>
    <w:rsid w:val="797B183C"/>
    <w:rsid w:val="7A4F58E8"/>
    <w:rsid w:val="7AA832E3"/>
    <w:rsid w:val="7C3E4D85"/>
    <w:rsid w:val="7CBC6D9C"/>
    <w:rsid w:val="7D9614B2"/>
    <w:rsid w:val="7DE6287D"/>
    <w:rsid w:val="7E541CB7"/>
    <w:rsid w:val="7EBA1A3E"/>
    <w:rsid w:val="7EBC3294"/>
    <w:rsid w:val="7ED77A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eastAsia="宋体" w:cs="Times New Roman"/>
    </w:rPr>
  </w:style>
  <w:style w:type="paragraph" w:styleId="3">
    <w:name w:val="Body Text"/>
    <w:basedOn w:val="1"/>
    <w:next w:val="2"/>
    <w:qFormat/>
    <w:uiPriority w:val="0"/>
    <w:pPr>
      <w:jc w:val="center"/>
    </w:pPr>
    <w:rPr>
      <w:rFonts w:eastAsia="方正大标宋简体"/>
      <w:w w:val="90"/>
      <w:sz w:val="44"/>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locked/>
    <w:uiPriority w:val="0"/>
    <w:rPr>
      <w:i/>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6"/>
    <w:semiHidden/>
    <w:qFormat/>
    <w:uiPriority w:val="99"/>
    <w:rPr>
      <w:rFonts w:ascii="Calibri" w:hAnsi="Calibri"/>
      <w:sz w:val="18"/>
      <w:szCs w:val="18"/>
    </w:rPr>
  </w:style>
  <w:style w:type="character" w:customStyle="1" w:styleId="12">
    <w:name w:val="页脚 Char"/>
    <w:basedOn w:val="8"/>
    <w:link w:val="5"/>
    <w:semiHidden/>
    <w:qFormat/>
    <w:uiPriority w:val="99"/>
    <w:rPr>
      <w:rFonts w:ascii="Calibri" w:hAnsi="Calibri"/>
      <w:sz w:val="18"/>
      <w:szCs w:val="18"/>
    </w:rPr>
  </w:style>
  <w:style w:type="character" w:customStyle="1" w:styleId="13">
    <w:name w:val="font11"/>
    <w:basedOn w:val="8"/>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1890</Words>
  <Characters>2291</Characters>
  <Lines>8</Lines>
  <Paragraphs>2</Paragraphs>
  <TotalTime>2</TotalTime>
  <ScaleCrop>false</ScaleCrop>
  <LinksUpToDate>false</LinksUpToDate>
  <CharactersWithSpaces>2334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2019-03-02T07:35:00Z</dcterms:created>
  <dc:creator>dreamsummit</dc:creator>
  <cp:lastModifiedBy>Administrator</cp:lastModifiedBy>
  <cp:lastPrinted>2022-12-15T06:53:00Z</cp:lastPrinted>
  <dcterms:modified xsi:type="dcterms:W3CDTF">2022-12-19T01:47:16Z</dcterms:modified>
  <dc:title>基于学乐教育大数据云平台,通过采集过程性数据、结果性数据、伴随性数据来跟踪监测教育学全过程，将由结果导向的单一评价扩展到综合性、过程性的多维度评价，实现基于大数据的评价方式重塑从而达到精准化教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KSORubyTemplateID" linkTarget="0">
    <vt:lpwstr>6</vt:lpwstr>
  </property>
  <property fmtid="{D5CDD505-2E9C-101B-9397-08002B2CF9AE}" pid="4" name="ICV">
    <vt:lpwstr>D4CB80423ECB4514B6DE61BAAC093C8E</vt:lpwstr>
  </property>
</Properties>
</file>