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方正小标宋简体" w:eastAsia="方正小标宋简体"/>
          <w:sz w:val="44"/>
          <w:szCs w:val="44"/>
        </w:rPr>
      </w:pPr>
      <w:r>
        <w:rPr>
          <w:rFonts w:hint="eastAsia" w:ascii="方正小标宋简体" w:eastAsia="方正小标宋简体" w:hAnsiTheme="minorEastAsia" w:cstheme="minorEastAsia"/>
          <w:kern w:val="0"/>
          <w:sz w:val="44"/>
          <w:szCs w:val="44"/>
        </w:rPr>
        <w:t>104国道瑞安塘下至汀田段改建工程（瑞祥大道三期工程）</w:t>
      </w:r>
      <w:r>
        <w:rPr>
          <w:rFonts w:hint="eastAsia" w:ascii="方正小标宋简体" w:eastAsia="方正小标宋简体" w:hAnsiTheme="majorEastAsia" w:cstheme="majorEastAsia"/>
          <w:kern w:val="0"/>
          <w:sz w:val="44"/>
          <w:szCs w:val="44"/>
        </w:rPr>
        <w:t>征收集体所有土地范围内涉及汀田段</w:t>
      </w:r>
      <w:r>
        <w:rPr>
          <w:rFonts w:hint="eastAsia" w:ascii="方正小标宋简体" w:eastAsia="方正小标宋简体" w:hAnsiTheme="minorEastAsia" w:cstheme="minorEastAsia"/>
          <w:kern w:val="0"/>
          <w:sz w:val="44"/>
          <w:szCs w:val="44"/>
        </w:rPr>
        <w:t>遗留未补偿的征地房屋</w:t>
      </w:r>
      <w:r>
        <w:rPr>
          <w:rFonts w:hint="eastAsia" w:ascii="方正小标宋简体" w:eastAsia="方正小标宋简体" w:hAnsiTheme="majorEastAsia" w:cstheme="majorEastAsia"/>
          <w:kern w:val="0"/>
          <w:sz w:val="44"/>
          <w:szCs w:val="44"/>
        </w:rPr>
        <w:t>补偿方案</w:t>
      </w:r>
    </w:p>
    <w:p>
      <w:pPr>
        <w:widowControl/>
        <w:spacing w:line="700" w:lineRule="exact"/>
        <w:jc w:val="center"/>
        <w:textAlignment w:val="baseline"/>
        <w:rPr>
          <w:rFonts w:ascii="方正小标宋简体" w:eastAsia="方正小标宋简体"/>
          <w:sz w:val="44"/>
          <w:szCs w:val="44"/>
        </w:rPr>
      </w:pPr>
      <w:r>
        <w:rPr>
          <w:rFonts w:hint="eastAsia" w:ascii="方正小标宋简体" w:hAnsi="Times New Roman" w:eastAsia="方正小标宋简体" w:cs="Times New Roman"/>
          <w:kern w:val="0"/>
          <w:sz w:val="44"/>
          <w:szCs w:val="44"/>
        </w:rPr>
        <w:t> (征求意见稿)</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为规范104国道瑞安塘下至汀田段改建工程（瑞祥大道三期工程）征收集体所有土地范围内汀田段遗留未补偿的征地房屋补偿（以下简称征地房屋补偿）工作，维护公共利益，保障征地范围内房屋所有权人（以下统称房屋所有权人）合法权益，根据《中华人民共和国土地管理法》、《中华人民共和国土地管理法实施条例》、《浙江省实施〈中华人民共和国土地管理法〉办法》、及参照《浙江省国有土地上房屋征收与补偿条例》等法律法规及相关政策的规定，结合本工程实际情况，特制定本方案。</w:t>
      </w:r>
    </w:p>
    <w:p>
      <w:pPr>
        <w:widowControl/>
        <w:spacing w:line="560" w:lineRule="exact"/>
        <w:ind w:firstLine="640" w:firstLineChars="200"/>
        <w:jc w:val="left"/>
        <w:rPr>
          <w:rFonts w:ascii="黑体" w:hAnsi="黑体" w:eastAsia="黑体" w:cstheme="minorEastAsia"/>
          <w:sz w:val="32"/>
          <w:szCs w:val="32"/>
        </w:rPr>
      </w:pPr>
      <w:r>
        <w:rPr>
          <w:rFonts w:hint="eastAsia" w:ascii="黑体" w:hAnsi="黑体" w:eastAsia="黑体" w:cstheme="minorEastAsia"/>
          <w:color w:val="404040"/>
          <w:kern w:val="0"/>
          <w:sz w:val="32"/>
          <w:szCs w:val="32"/>
        </w:rPr>
        <w:t>一、征地房屋补偿范围</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104国道瑞安塘下至汀田段改建工程（瑞祥大道三期工程）征收集体所有土地范围内汀田段遗留未补偿的征地房屋补偿范围：该段工程自北向南在汀田街道金凤社区（原金前村、山上陈村）路段，具体以该工程在汀田街道金凤社区北至金前浃、南至山上陈浃路段征地红线范围图为准。在上述征收范围内涉及对遗留未补偿的征地房屋所有权人进行补偿的，适用本方案。</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kern w:val="0"/>
          <w:sz w:val="32"/>
          <w:szCs w:val="32"/>
        </w:rPr>
        <w:t>二、征地房屋补偿部门和实施单位</w:t>
      </w:r>
    </w:p>
    <w:p>
      <w:pPr>
        <w:widowControl/>
        <w:spacing w:line="560" w:lineRule="exact"/>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（一）征地房屋补偿部门：</w:t>
      </w:r>
      <w:r>
        <w:rPr>
          <w:rFonts w:hint="eastAsia" w:ascii="仿宋_GB2312" w:hAnsi="楷体" w:eastAsia="仿宋_GB2312" w:cstheme="minorEastAsia"/>
          <w:kern w:val="0"/>
          <w:sz w:val="32"/>
          <w:szCs w:val="32"/>
        </w:rPr>
        <w:t>瑞安市自然资源和规划局。</w:t>
      </w:r>
    </w:p>
    <w:p>
      <w:pPr>
        <w:widowControl/>
        <w:spacing w:line="560" w:lineRule="exact"/>
        <w:ind w:firstLine="640" w:firstLineChars="200"/>
        <w:jc w:val="left"/>
        <w:rPr>
          <w:rFonts w:ascii="仿宋_GB2312" w:hAnsi="楷体" w:eastAsia="仿宋_GB2312" w:cstheme="minorEastAsia"/>
          <w:sz w:val="32"/>
          <w:szCs w:val="32"/>
        </w:rPr>
      </w:pPr>
      <w:r>
        <w:rPr>
          <w:rFonts w:hint="eastAsia" w:ascii="楷体" w:hAnsi="楷体" w:eastAsia="楷体" w:cstheme="minorEastAsia"/>
          <w:kern w:val="0"/>
          <w:sz w:val="32"/>
          <w:szCs w:val="32"/>
        </w:rPr>
        <w:t>（二）征地房屋补偿实施单位（以下统称实施单位）：</w:t>
      </w:r>
      <w:r>
        <w:rPr>
          <w:rFonts w:hint="eastAsia" w:ascii="仿宋_GB2312" w:hAnsi="楷体" w:eastAsia="仿宋_GB2312" w:cstheme="minorEastAsia"/>
          <w:kern w:val="0"/>
          <w:sz w:val="32"/>
          <w:szCs w:val="32"/>
        </w:rPr>
        <w:t xml:space="preserve">瑞安市交通工程建设中心 </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kern w:val="0"/>
          <w:sz w:val="32"/>
          <w:szCs w:val="32"/>
        </w:rPr>
        <w:t>三、征地房屋签约期限</w:t>
      </w:r>
    </w:p>
    <w:p>
      <w:pPr>
        <w:widowControl/>
        <w:spacing w:line="555" w:lineRule="atLeast"/>
        <w:ind w:firstLine="645"/>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自本征地房屋补偿方案公告之日起30天内。</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kern w:val="0"/>
          <w:sz w:val="32"/>
          <w:szCs w:val="32"/>
        </w:rPr>
        <w:t>四、征地房屋补偿安置原则</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（一）征地房屋补偿安置以房屋《不动产权证》或《土地使用权证》《房屋所有权证》或其他合法有效证件记载的用途、面积或通过其他方式可以确定的用途、面积计算。</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（二）</w:t>
      </w:r>
      <w:bookmarkStart w:id="0" w:name="_Hlk68770658"/>
      <w:r>
        <w:rPr>
          <w:rFonts w:hint="eastAsia" w:ascii="楷体" w:hAnsi="楷体" w:eastAsia="楷体" w:cstheme="minorEastAsia"/>
          <w:kern w:val="0"/>
          <w:sz w:val="32"/>
          <w:szCs w:val="32"/>
        </w:rPr>
        <w:t>征地房屋房产、土地权属未登记发证或登记不全的，按我市相关政策规定认定处置。</w:t>
      </w:r>
      <w:bookmarkEnd w:id="0"/>
      <w:r>
        <w:rPr>
          <w:rFonts w:hint="eastAsia" w:ascii="楷体" w:hAnsi="楷体" w:eastAsia="楷体" w:cstheme="minorEastAsia"/>
          <w:kern w:val="0"/>
          <w:sz w:val="32"/>
          <w:szCs w:val="32"/>
        </w:rPr>
        <w:t xml:space="preserve"> </w:t>
      </w:r>
    </w:p>
    <w:p>
      <w:pPr>
        <w:widowControl/>
        <w:ind w:firstLine="640" w:firstLineChars="200"/>
        <w:jc w:val="left"/>
        <w:rPr>
          <w:rFonts w:ascii="楷体" w:hAnsi="楷体" w:eastAsia="楷体" w:cstheme="minorEastAsia"/>
          <w:kern w:val="0"/>
          <w:sz w:val="32"/>
          <w:szCs w:val="32"/>
        </w:rPr>
      </w:pPr>
      <w:bookmarkStart w:id="1" w:name="_Hlk68770798"/>
      <w:r>
        <w:rPr>
          <w:rFonts w:hint="eastAsia" w:ascii="楷体" w:hAnsi="楷体" w:eastAsia="楷体" w:cstheme="minorEastAsia"/>
          <w:kern w:val="0"/>
          <w:sz w:val="32"/>
          <w:szCs w:val="32"/>
        </w:rPr>
        <w:t>（三）红线外且与红线内房屋不可分割的连体房屋列入补偿范围，其补偿安置标准同红线范围内征地房屋。</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（四）征地房屋属于违法建筑和超过批准期限的临时建筑，应当自行拆除，不予补偿安置；拆除未超过批准期限的临时建筑，可以给予适当补偿，不予安置。</w:t>
      </w:r>
    </w:p>
    <w:bookmarkEnd w:id="1"/>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（五）征地房屋宅基地范围内的附属用房和房屋前后左右庭院上搭建、改建的其他用房等，给予适当经济补偿，不计算安置面积。其中已取得《房屋所有权证》或《不动产权证》的给予重置成新价补偿。</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1、征地房屋宅基地范围包括住宅房屋（主屋）、庭院和附属用房（或其他用房）占地范围内的土地。位于住宅房屋（主屋）前后、左右等周边用地范围内的附属用房均属一处宅基地范围。</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2、房屋所有权人家庭在同一处宅基地范围内申请办理了两本及两本以上《不动产权证》或《土地使用权证》、《房屋所有权证》的，作为一处宅基地处理。</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3、征地房屋宅基地范围内属于以下情形的房屋为附属用房或其他用房：</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①除住宅房屋（主屋）外建设的厨房、柴房、卫生间和禽畜圈舍、农具房及附属住房等房屋。</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②将本条第（1）项中房屋自行改变使用功能，以自然产权登记为住宅的。</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③其它属于附属用房或其他用房的情形。</w:t>
      </w:r>
    </w:p>
    <w:p>
      <w:pPr>
        <w:widowControl/>
        <w:ind w:firstLine="640" w:firstLineChars="200"/>
        <w:jc w:val="left"/>
        <w:rPr>
          <w:rFonts w:ascii="仿宋_GB2312" w:eastAsia="仿宋_GB2312" w:hAnsiTheme="minorEastAsia" w:cstheme="minorEastAsia"/>
          <w:color w:val="404040"/>
          <w:kern w:val="0"/>
          <w:sz w:val="32"/>
          <w:szCs w:val="32"/>
        </w:rPr>
      </w:pPr>
      <w:r>
        <w:rPr>
          <w:rFonts w:hint="eastAsia" w:ascii="仿宋_GB2312" w:eastAsia="仿宋_GB2312" w:hAnsiTheme="minorEastAsia" w:cstheme="minorEastAsia"/>
          <w:sz w:val="32"/>
          <w:szCs w:val="32"/>
        </w:rPr>
        <w:t>4、征地房屋属于原村集体组织统一划分的“三基”（指柴垛基、牲畜基、茅厕基）用地上的房屋，未经宅基地审批，以自然产权登记为住宅的，不作住宅房屋认定，其补偿按附属用房或其他用房，给予适当补偿，不计算安置建筑面积。</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sz w:val="32"/>
          <w:szCs w:val="32"/>
        </w:rPr>
        <w:t>（六）房屋所有权人在</w:t>
      </w:r>
      <w:r>
        <w:rPr>
          <w:rFonts w:hint="eastAsia" w:ascii="楷体" w:hAnsi="楷体" w:eastAsia="楷体" w:cstheme="minorEastAsia"/>
          <w:kern w:val="0"/>
          <w:sz w:val="32"/>
          <w:szCs w:val="32"/>
        </w:rPr>
        <w:t>征地房屋补偿方案公告</w:t>
      </w:r>
      <w:r>
        <w:rPr>
          <w:rFonts w:hint="eastAsia" w:ascii="楷体" w:hAnsi="楷体" w:eastAsia="楷体" w:cstheme="minorEastAsia"/>
          <w:sz w:val="32"/>
          <w:szCs w:val="32"/>
        </w:rPr>
        <w:t>发布后，进行装修、改建和改变房屋用途等不当增加补偿费用的行为的，不予补偿，不作为安置依据。</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sz w:val="32"/>
          <w:szCs w:val="32"/>
        </w:rPr>
        <w:t>（七）房屋所有权人不得自行拆除签订协议后的房屋内的一切固定设施，否则视损坏程度按原规定相应的补偿价值扣除。</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color w:val="404040"/>
          <w:kern w:val="0"/>
          <w:sz w:val="32"/>
          <w:szCs w:val="32"/>
        </w:rPr>
        <w:t>五、征地房屋补偿安置规定</w:t>
      </w:r>
    </w:p>
    <w:p>
      <w:pPr>
        <w:widowControl/>
        <w:ind w:firstLine="640" w:firstLineChars="200"/>
        <w:jc w:val="left"/>
        <w:rPr>
          <w:rFonts w:asciiTheme="minorEastAsia" w:hAnsiTheme="minorEastAsia" w:cstheme="minorEastAsia"/>
          <w:sz w:val="30"/>
          <w:szCs w:val="30"/>
        </w:rPr>
      </w:pPr>
      <w:r>
        <w:rPr>
          <w:rFonts w:hint="eastAsia" w:ascii="楷体" w:hAnsi="楷体" w:eastAsia="楷体" w:cstheme="minorEastAsia"/>
          <w:color w:val="404040"/>
          <w:kern w:val="0"/>
          <w:sz w:val="32"/>
          <w:szCs w:val="32"/>
        </w:rPr>
        <w:t>（一）征地房屋补偿费：</w:t>
      </w:r>
      <w:r>
        <w:rPr>
          <w:rFonts w:hint="eastAsia" w:ascii="仿宋_GB2312" w:eastAsia="仿宋_GB2312" w:hAnsiTheme="minorEastAsia" w:cstheme="minorEastAsia"/>
          <w:kern w:val="0"/>
          <w:sz w:val="32"/>
          <w:szCs w:val="32"/>
        </w:rPr>
        <w:t>包括房屋重置成新价、搬迁费（回迁费）、临时安置费及地面上其它附着物补偿费等。具体标准如下：</w:t>
      </w:r>
    </w:p>
    <w:p>
      <w:pPr>
        <w:widowControl/>
        <w:ind w:firstLine="640" w:firstLineChars="200"/>
        <w:jc w:val="left"/>
        <w:rPr>
          <w:rFonts w:ascii="仿宋_GB2312" w:eastAsia="仿宋_GB2312" w:hAnsiTheme="minorEastAsia" w:cstheme="minorEastAsia"/>
          <w:sz w:val="32"/>
          <w:szCs w:val="32"/>
        </w:rPr>
      </w:pPr>
      <w:r>
        <w:rPr>
          <w:rStyle w:val="7"/>
          <w:rFonts w:hint="eastAsia" w:ascii="仿宋_GB2312" w:eastAsia="仿宋_GB2312" w:hAnsiTheme="minorEastAsia" w:cstheme="minorEastAsia"/>
          <w:b w:val="0"/>
          <w:kern w:val="0"/>
          <w:sz w:val="32"/>
          <w:szCs w:val="32"/>
        </w:rPr>
        <w:t>1.房屋重置成新价：</w:t>
      </w:r>
      <w:r>
        <w:rPr>
          <w:rFonts w:hint="eastAsia" w:ascii="仿宋_GB2312" w:eastAsia="仿宋_GB2312" w:hAnsiTheme="minorEastAsia" w:cstheme="minorEastAsia"/>
          <w:kern w:val="0"/>
          <w:sz w:val="32"/>
          <w:szCs w:val="32"/>
        </w:rPr>
        <w:t>由具有相应资质的房地产价格评估机构根据征地房屋的等级、结构、建造年份、装修情况、合法产权（或认定）建筑面积等情况评估确定。</w:t>
      </w:r>
    </w:p>
    <w:p>
      <w:pPr>
        <w:widowControl/>
        <w:ind w:firstLine="640" w:firstLineChars="200"/>
        <w:jc w:val="left"/>
        <w:rPr>
          <w:rFonts w:ascii="仿宋_GB2312" w:eastAsia="仿宋_GB2312" w:hAnsiTheme="minorEastAsia" w:cstheme="minorEastAsia"/>
          <w:b/>
          <w:sz w:val="32"/>
          <w:szCs w:val="32"/>
        </w:rPr>
      </w:pPr>
      <w:r>
        <w:rPr>
          <w:rStyle w:val="7"/>
          <w:rFonts w:hint="eastAsia" w:ascii="仿宋_GB2312" w:eastAsia="仿宋_GB2312" w:hAnsiTheme="minorEastAsia" w:cstheme="minorEastAsia"/>
          <w:b w:val="0"/>
          <w:kern w:val="0"/>
          <w:sz w:val="32"/>
          <w:szCs w:val="32"/>
        </w:rPr>
        <w:t>2.搬迁费（回迁费）标准</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搬迁费按征地房屋合法产权（或认定）建筑面积15元/平方米标准计算。征地房屋搬迁费少于1500元/间的，按1500元计算。</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 xml:space="preserve"> 选择产权调换的，实施单位应按上述标准支付回迁费。</w:t>
      </w:r>
    </w:p>
    <w:p>
      <w:pPr>
        <w:widowControl/>
        <w:ind w:firstLine="640" w:firstLineChars="200"/>
        <w:jc w:val="left"/>
        <w:rPr>
          <w:rStyle w:val="7"/>
          <w:rFonts w:ascii="仿宋_GB2312" w:eastAsia="仿宋_GB2312" w:hAnsiTheme="minorEastAsia" w:cstheme="minorEastAsia"/>
          <w:b w:val="0"/>
          <w:kern w:val="0"/>
          <w:sz w:val="32"/>
          <w:szCs w:val="32"/>
        </w:rPr>
      </w:pPr>
      <w:r>
        <w:rPr>
          <w:rStyle w:val="7"/>
          <w:rFonts w:hint="eastAsia" w:ascii="仿宋_GB2312" w:eastAsia="仿宋_GB2312" w:hAnsiTheme="minorEastAsia" w:cstheme="minorEastAsia"/>
          <w:b w:val="0"/>
          <w:kern w:val="0"/>
          <w:sz w:val="32"/>
          <w:szCs w:val="32"/>
        </w:rPr>
        <w:t>3.临时安置费标准</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房屋所有权人自行解决过渡周转用房的，临时安置费按征地房屋合法产权(或认定）住宅建筑面积每月16元/平方米计算。</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实施单位应当自搬迁腾空验收合格之日起按补偿协议约定的临时安置费支付方式支付给房屋所有权人。</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（1）房屋所有权人选择货币补偿的，实施单位应当在其搬迁腾空验收合格后一次性支付房屋所有权人6个月的临时过渡安置费。</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（2）房屋所有权人选择产权调换的，按搬迁腾空验收合格之月起至安置房交付后6个月止计算支付。</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房屋所有权人选择产权调换的，过渡期限为征地房屋搬迁腾空验收合格之月起36个月，超过过渡期限实施单位未提供用于选择产权调换安置房源的，实施单位应当逾期之月起按最新标准的两倍支付临时安置费。</w:t>
      </w:r>
    </w:p>
    <w:p>
      <w:pPr>
        <w:widowControl/>
        <w:ind w:firstLine="643" w:firstLineChars="200"/>
        <w:jc w:val="left"/>
        <w:rPr>
          <w:rFonts w:ascii="仿宋_GB2312" w:eastAsia="仿宋_GB2312" w:hAnsiTheme="minorEastAsia" w:cstheme="minorEastAsia"/>
          <w:sz w:val="32"/>
          <w:szCs w:val="32"/>
        </w:rPr>
      </w:pPr>
      <w:r>
        <w:rPr>
          <w:rStyle w:val="7"/>
          <w:rFonts w:hint="eastAsia" w:ascii="仿宋_GB2312" w:eastAsia="仿宋_GB2312" w:hAnsiTheme="minorEastAsia" w:cstheme="minorEastAsia"/>
          <w:kern w:val="0"/>
          <w:sz w:val="32"/>
          <w:szCs w:val="32"/>
        </w:rPr>
        <w:t>4.</w:t>
      </w:r>
      <w:r>
        <w:rPr>
          <w:rFonts w:hint="eastAsia" w:ascii="仿宋_GB2312" w:eastAsia="仿宋_GB2312" w:hAnsiTheme="minorEastAsia" w:cstheme="minorEastAsia"/>
          <w:sz w:val="32"/>
          <w:szCs w:val="32"/>
        </w:rPr>
        <w:t>地面上其他附着物补偿费标准</w:t>
      </w:r>
    </w:p>
    <w:tbl>
      <w:tblPr>
        <w:tblStyle w:val="5"/>
        <w:tblW w:w="8497" w:type="dxa"/>
        <w:tblInd w:w="0" w:type="dxa"/>
        <w:tblLayout w:type="fixed"/>
        <w:tblCellMar>
          <w:top w:w="15" w:type="dxa"/>
          <w:left w:w="15" w:type="dxa"/>
          <w:bottom w:w="15" w:type="dxa"/>
          <w:right w:w="15" w:type="dxa"/>
        </w:tblCellMar>
      </w:tblPr>
      <w:tblGrid>
        <w:gridCol w:w="2247"/>
        <w:gridCol w:w="1950"/>
        <w:gridCol w:w="1705"/>
        <w:gridCol w:w="2595"/>
      </w:tblGrid>
      <w:tr>
        <w:tblPrEx>
          <w:tblCellMar>
            <w:top w:w="15" w:type="dxa"/>
            <w:left w:w="15" w:type="dxa"/>
            <w:bottom w:w="15" w:type="dxa"/>
            <w:right w:w="15" w:type="dxa"/>
          </w:tblCellMar>
        </w:tblPrEx>
        <w:trPr>
          <w:trHeight w:val="465" w:hRule="atLeast"/>
        </w:trPr>
        <w:tc>
          <w:tcPr>
            <w:tcW w:w="22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bCs/>
                <w:sz w:val="30"/>
                <w:szCs w:val="30"/>
              </w:rPr>
            </w:pPr>
            <w:r>
              <w:rPr>
                <w:rStyle w:val="7"/>
                <w:rFonts w:hint="eastAsia" w:asciiTheme="minorEastAsia" w:hAnsiTheme="minorEastAsia" w:cstheme="minorEastAsia"/>
                <w:b w:val="0"/>
                <w:bCs/>
                <w:sz w:val="30"/>
                <w:szCs w:val="30"/>
              </w:rPr>
              <w:t>名  称</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bCs/>
                <w:sz w:val="30"/>
                <w:szCs w:val="30"/>
              </w:rPr>
            </w:pPr>
            <w:r>
              <w:rPr>
                <w:rStyle w:val="7"/>
                <w:rFonts w:hint="eastAsia" w:asciiTheme="minorEastAsia" w:hAnsiTheme="minorEastAsia" w:cstheme="minorEastAsia"/>
                <w:b w:val="0"/>
                <w:bCs/>
                <w:sz w:val="30"/>
                <w:szCs w:val="30"/>
              </w:rPr>
              <w:t>计量（户）</w:t>
            </w:r>
          </w:p>
        </w:tc>
        <w:tc>
          <w:tcPr>
            <w:tcW w:w="17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bCs/>
                <w:sz w:val="30"/>
                <w:szCs w:val="30"/>
              </w:rPr>
            </w:pPr>
            <w:r>
              <w:rPr>
                <w:rStyle w:val="7"/>
                <w:rFonts w:hint="eastAsia" w:asciiTheme="minorEastAsia" w:hAnsiTheme="minorEastAsia" w:cstheme="minorEastAsia"/>
                <w:b w:val="0"/>
                <w:bCs/>
                <w:sz w:val="30"/>
                <w:szCs w:val="30"/>
              </w:rPr>
              <w:t>价格（元）</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bCs/>
                <w:sz w:val="30"/>
                <w:szCs w:val="30"/>
              </w:rPr>
            </w:pPr>
            <w:r>
              <w:rPr>
                <w:rStyle w:val="7"/>
                <w:rFonts w:hint="eastAsia" w:asciiTheme="minorEastAsia" w:hAnsiTheme="minorEastAsia" w:cstheme="minorEastAsia"/>
                <w:b w:val="0"/>
                <w:bCs/>
                <w:sz w:val="30"/>
                <w:szCs w:val="30"/>
              </w:rPr>
              <w:t>备注说明</w:t>
            </w:r>
          </w:p>
        </w:tc>
      </w:tr>
      <w:tr>
        <w:tblPrEx>
          <w:tblCellMar>
            <w:top w:w="15" w:type="dxa"/>
            <w:left w:w="15" w:type="dxa"/>
            <w:bottom w:w="15" w:type="dxa"/>
            <w:right w:w="15" w:type="dxa"/>
          </w:tblCellMar>
        </w:tblPrEx>
        <w:trPr>
          <w:cantSplit/>
          <w:trHeight w:val="465" w:hRule="atLeast"/>
        </w:trPr>
        <w:tc>
          <w:tcPr>
            <w:tcW w:w="22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电  话</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1部</w:t>
            </w:r>
          </w:p>
        </w:tc>
        <w:tc>
          <w:tcPr>
            <w:tcW w:w="170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158</w:t>
            </w:r>
          </w:p>
        </w:tc>
        <w:tc>
          <w:tcPr>
            <w:tcW w:w="259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rPr>
                <w:rFonts w:asciiTheme="minorEastAsia" w:hAnsiTheme="minorEastAsia" w:cstheme="minorEastAsia"/>
                <w:sz w:val="30"/>
                <w:szCs w:val="30"/>
              </w:rPr>
            </w:pPr>
            <w:r>
              <w:rPr>
                <w:rFonts w:hint="eastAsia" w:asciiTheme="minorEastAsia" w:hAnsiTheme="minorEastAsia" w:cstheme="minorEastAsia"/>
                <w:sz w:val="30"/>
                <w:szCs w:val="30"/>
              </w:rPr>
              <w:t>需迁移的，由房屋所有权人自行负责迁移。</w:t>
            </w:r>
          </w:p>
        </w:tc>
      </w:tr>
      <w:tr>
        <w:tblPrEx>
          <w:tblCellMar>
            <w:top w:w="15" w:type="dxa"/>
            <w:left w:w="15" w:type="dxa"/>
            <w:bottom w:w="15" w:type="dxa"/>
            <w:right w:w="15" w:type="dxa"/>
          </w:tblCellMar>
        </w:tblPrEx>
        <w:trPr>
          <w:cantSplit/>
          <w:trHeight w:val="465" w:hRule="atLeast"/>
        </w:trPr>
        <w:tc>
          <w:tcPr>
            <w:tcW w:w="2247"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有线电视</w:t>
            </w:r>
          </w:p>
        </w:tc>
        <w:tc>
          <w:tcPr>
            <w:tcW w:w="1950" w:type="dxa"/>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1门</w:t>
            </w:r>
          </w:p>
        </w:tc>
        <w:tc>
          <w:tcPr>
            <w:tcW w:w="1705" w:type="dxa"/>
            <w:tcBorders>
              <w:top w:val="single" w:color="auto" w:sz="4"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80</w:t>
            </w:r>
          </w:p>
        </w:tc>
        <w:tc>
          <w:tcPr>
            <w:tcW w:w="2595" w:type="dxa"/>
            <w:vMerge w:val="continue"/>
            <w:tcBorders>
              <w:top w:val="single" w:color="auto" w:sz="4" w:space="0"/>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电表（单线）</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1只</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电表（三线）</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1只</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1200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水   表</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1只</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宽带电话移装</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1户</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200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附属及其他用房</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100-400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化粪池</w:t>
            </w:r>
          </w:p>
        </w:tc>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1口</w:t>
            </w:r>
          </w:p>
        </w:tc>
        <w:tc>
          <w:tcPr>
            <w:tcW w:w="1705" w:type="dxa"/>
            <w:tcBorders>
              <w:top w:val="single" w:color="auto" w:sz="6" w:space="0"/>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500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家庭水井</w:t>
            </w:r>
          </w:p>
        </w:tc>
        <w:tc>
          <w:tcPr>
            <w:tcW w:w="1950"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1口</w:t>
            </w:r>
          </w:p>
        </w:tc>
        <w:tc>
          <w:tcPr>
            <w:tcW w:w="1705" w:type="dxa"/>
            <w:tcBorders>
              <w:top w:val="single" w:color="auto" w:sz="6" w:space="0"/>
              <w:left w:val="single" w:color="auto" w:sz="6"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300</w:t>
            </w:r>
          </w:p>
        </w:tc>
        <w:tc>
          <w:tcPr>
            <w:tcW w:w="2595" w:type="dxa"/>
            <w:vMerge w:val="continue"/>
            <w:tcBorders>
              <w:left w:val="single" w:color="auto" w:sz="4" w:space="0"/>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r>
        <w:tblPrEx>
          <w:tblCellMar>
            <w:top w:w="15" w:type="dxa"/>
            <w:left w:w="15" w:type="dxa"/>
            <w:bottom w:w="15" w:type="dxa"/>
            <w:right w:w="15" w:type="dxa"/>
          </w:tblCellMar>
        </w:tblPrEx>
        <w:trPr>
          <w:cantSplit/>
          <w:trHeight w:val="465" w:hRule="atLeast"/>
        </w:trPr>
        <w:tc>
          <w:tcPr>
            <w:tcW w:w="2247"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空调移装</w:t>
            </w:r>
          </w:p>
        </w:tc>
        <w:tc>
          <w:tcPr>
            <w:tcW w:w="1950"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1台</w:t>
            </w:r>
          </w:p>
        </w:tc>
        <w:tc>
          <w:tcPr>
            <w:tcW w:w="1705" w:type="dxa"/>
            <w:tcBorders>
              <w:top w:val="single" w:color="auto" w:sz="6" w:space="0"/>
              <w:left w:val="single" w:color="auto" w:sz="6"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widowControl/>
              <w:spacing w:beforeAutospacing="0" w:afterAutospacing="0" w:line="560" w:lineRule="exact"/>
              <w:jc w:val="center"/>
              <w:rPr>
                <w:rFonts w:asciiTheme="minorEastAsia" w:hAnsiTheme="minorEastAsia" w:cstheme="minorEastAsia"/>
                <w:sz w:val="30"/>
                <w:szCs w:val="30"/>
              </w:rPr>
            </w:pPr>
            <w:r>
              <w:rPr>
                <w:rFonts w:hint="eastAsia" w:asciiTheme="minorEastAsia" w:hAnsiTheme="minorEastAsia" w:cstheme="minorEastAsia"/>
                <w:sz w:val="30"/>
                <w:szCs w:val="30"/>
              </w:rPr>
              <w:t>200</w:t>
            </w:r>
          </w:p>
        </w:tc>
        <w:tc>
          <w:tcPr>
            <w:tcW w:w="2595" w:type="dxa"/>
            <w:vMerge w:val="continue"/>
            <w:tcBorders>
              <w:left w:val="single" w:color="auto" w:sz="4" w:space="0"/>
              <w:bottom w:val="nil"/>
              <w:right w:val="single" w:color="auto" w:sz="4" w:space="0"/>
            </w:tcBorders>
            <w:shd w:val="clear" w:color="auto" w:fill="auto"/>
            <w:tcMar>
              <w:top w:w="0" w:type="dxa"/>
              <w:left w:w="105" w:type="dxa"/>
              <w:bottom w:w="0" w:type="dxa"/>
              <w:right w:w="105" w:type="dxa"/>
            </w:tcMar>
            <w:vAlign w:val="center"/>
          </w:tcPr>
          <w:p>
            <w:pPr>
              <w:spacing w:line="560" w:lineRule="exact"/>
              <w:ind w:firstLine="600" w:firstLineChars="200"/>
              <w:rPr>
                <w:rFonts w:asciiTheme="minorEastAsia" w:hAnsiTheme="minorEastAsia" w:cstheme="minorEastAsia"/>
                <w:color w:val="FF0000"/>
                <w:sz w:val="30"/>
                <w:szCs w:val="30"/>
              </w:rPr>
            </w:pPr>
          </w:p>
        </w:tc>
      </w:tr>
    </w:tbl>
    <w:p>
      <w:pPr>
        <w:pStyle w:val="2"/>
        <w:ind w:firstLine="640" w:firstLineChars="200"/>
        <w:rPr>
          <w:rFonts w:ascii="仿宋_GB2312" w:eastAsia="仿宋_GB2312" w:hAnsiTheme="minorEastAsia" w:cstheme="minorEastAsia"/>
          <w:strike/>
          <w:sz w:val="32"/>
          <w:szCs w:val="32"/>
        </w:rPr>
      </w:pPr>
      <w:r>
        <w:rPr>
          <w:rFonts w:hint="eastAsia" w:ascii="仿宋_GB2312" w:eastAsia="仿宋_GB2312" w:hAnsiTheme="minorEastAsia" w:cstheme="minorEastAsia"/>
          <w:kern w:val="0"/>
          <w:sz w:val="32"/>
          <w:szCs w:val="32"/>
        </w:rPr>
        <w:t>除上述外的其他地上附着物（构筑物）及其他设施补偿价格，由评估单位参照市场价评估确定。</w:t>
      </w:r>
    </w:p>
    <w:p>
      <w:pPr>
        <w:widowControl/>
        <w:spacing w:line="555" w:lineRule="atLeast"/>
        <w:ind w:firstLine="645"/>
        <w:jc w:val="left"/>
        <w:rPr>
          <w:rFonts w:ascii="楷体" w:hAnsi="楷体" w:eastAsia="楷体" w:cstheme="minorEastAsia"/>
          <w:sz w:val="32"/>
          <w:szCs w:val="32"/>
        </w:rPr>
      </w:pPr>
      <w:r>
        <w:rPr>
          <w:rFonts w:hint="eastAsia" w:ascii="楷体" w:hAnsi="楷体" w:eastAsia="楷体" w:cstheme="minorEastAsia"/>
          <w:kern w:val="0"/>
          <w:sz w:val="32"/>
          <w:szCs w:val="32"/>
        </w:rPr>
        <w:t>（二）征地房屋安置建筑面积计算标准</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1.征地房屋一自然间（指宅基地范围内合法建筑底层占地面积大于或等于35平方米的住宅）安置建筑面积175平方米。</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2.征地房屋不足一自然间的，按建筑底层占地面积与安置建筑面积比率1:5计算；</w:t>
      </w:r>
      <w:r>
        <w:rPr>
          <w:rFonts w:hint="eastAsia" w:ascii="仿宋_GB2312" w:eastAsia="仿宋_GB2312" w:hAnsiTheme="minorEastAsia" w:cstheme="minorEastAsia"/>
          <w:sz w:val="32"/>
          <w:szCs w:val="32"/>
        </w:rPr>
        <w:t xml:space="preserve"> </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3.征地房屋一自然间宅基地上的合法建筑面积大于175平方米的，安置建筑面积按原房屋合法建筑面积1:1计算。</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4.征地房屋一自然间多人共有或者被分隔成多间多人所有的，仍按一自然间计算。</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kern w:val="0"/>
          <w:sz w:val="32"/>
          <w:szCs w:val="32"/>
        </w:rPr>
        <w:t>六、征地房屋安置方式</w:t>
      </w:r>
    </w:p>
    <w:p>
      <w:pPr>
        <w:widowControl/>
        <w:spacing w:line="555" w:lineRule="atLeast"/>
        <w:ind w:firstLine="645"/>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征地房屋安置方式为货币补偿和产权调换两种，房屋所有权人可选择其中一种安置方式。</w:t>
      </w:r>
    </w:p>
    <w:p>
      <w:pPr>
        <w:widowControl/>
        <w:spacing w:line="555" w:lineRule="atLeast"/>
        <w:ind w:firstLine="645"/>
        <w:jc w:val="left"/>
        <w:rPr>
          <w:rFonts w:ascii="楷体" w:hAnsi="楷体" w:eastAsia="楷体" w:cstheme="minorEastAsia"/>
          <w:sz w:val="32"/>
          <w:szCs w:val="32"/>
        </w:rPr>
      </w:pPr>
      <w:r>
        <w:rPr>
          <w:rFonts w:hint="eastAsia" w:ascii="楷体" w:hAnsi="楷体" w:eastAsia="楷体" w:cstheme="minorEastAsia"/>
          <w:kern w:val="0"/>
          <w:sz w:val="32"/>
          <w:szCs w:val="32"/>
        </w:rPr>
        <w:t xml:space="preserve">（一）货币补偿安置 </w:t>
      </w:r>
    </w:p>
    <w:p>
      <w:pPr>
        <w:widowControl/>
        <w:ind w:firstLine="640" w:firstLineChars="200"/>
        <w:jc w:val="left"/>
        <w:rPr>
          <w:rFonts w:ascii="仿宋_GB2312" w:eastAsia="仿宋_GB2312" w:hAnsiTheme="minorEastAsia" w:cstheme="minorEastAsia"/>
          <w:dstrike/>
          <w:kern w:val="0"/>
          <w:sz w:val="32"/>
          <w:szCs w:val="32"/>
        </w:rPr>
      </w:pPr>
      <w:r>
        <w:rPr>
          <w:rFonts w:hint="eastAsia" w:ascii="仿宋_GB2312" w:eastAsia="仿宋_GB2312" w:hAnsiTheme="minorEastAsia" w:cstheme="minorEastAsia"/>
          <w:kern w:val="0"/>
          <w:sz w:val="32"/>
          <w:szCs w:val="32"/>
        </w:rPr>
        <w:t>1.选择贷币补偿安置的，按上述规定计算货币补偿安置建筑面积，实施单位给予房屋所有权人一次性货币补偿，不再提供安置用房。</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2、货币补偿款</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（1）房屋重置成新价；</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w:t>
      </w:r>
      <w:r>
        <w:rPr>
          <w:rFonts w:hint="eastAsia" w:ascii="仿宋_GB2312" w:eastAsia="仿宋_GB2312" w:hAnsiTheme="minorEastAsia" w:cstheme="minorEastAsia"/>
          <w:sz w:val="32"/>
          <w:szCs w:val="32"/>
        </w:rPr>
        <w:t>地面上其他附着物补偿费</w:t>
      </w:r>
      <w:r>
        <w:rPr>
          <w:rFonts w:hint="eastAsia" w:ascii="仿宋_GB2312" w:eastAsia="仿宋_GB2312" w:hAnsiTheme="minorEastAsia" w:cstheme="minorEastAsia"/>
          <w:kern w:val="0"/>
          <w:sz w:val="32"/>
          <w:szCs w:val="32"/>
        </w:rPr>
        <w:t>；</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（3）搬迁费、6个月临时安置费；</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sz w:val="32"/>
          <w:szCs w:val="32"/>
        </w:rPr>
        <w:t>（4）</w:t>
      </w:r>
      <w:r>
        <w:rPr>
          <w:rFonts w:hint="eastAsia" w:ascii="仿宋_GB2312" w:eastAsia="仿宋_GB2312" w:hAnsiTheme="minorEastAsia" w:cstheme="minorEastAsia"/>
          <w:kern w:val="0"/>
          <w:sz w:val="32"/>
          <w:szCs w:val="32"/>
        </w:rPr>
        <w:t>安置建筑面积回购款，</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安置建筑面积回购款=安置建筑面积回购单价×回购安置建筑面积（含奖励面积），</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本工程住宅安置建筑面积回购单价为3700元/平方米；</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（5）货币补偿安置建筑面积回购款的奖励。</w:t>
      </w:r>
    </w:p>
    <w:p>
      <w:pPr>
        <w:widowControl/>
        <w:spacing w:line="555" w:lineRule="atLeast"/>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（二）产权调换安置</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hAnsiTheme="minorEastAsia" w:cstheme="minorEastAsia"/>
          <w:kern w:val="0"/>
          <w:sz w:val="32"/>
          <w:szCs w:val="32"/>
        </w:rPr>
        <w:t>1、选择产权调换安置的，按上述规定计算住宅安置建筑面积。</w:t>
      </w:r>
      <w:r>
        <w:rPr>
          <w:rFonts w:hint="eastAsia" w:ascii="仿宋_GB2312" w:hAnsi="宋体" w:eastAsia="仿宋_GB2312" w:cs="宋体"/>
          <w:kern w:val="0"/>
          <w:sz w:val="32"/>
          <w:szCs w:val="32"/>
        </w:rPr>
        <w:t>房屋所有权人应在安置建筑面积范围内选择安置房套型。房屋所有权人按安置房套型认购后，剩余安置建筑面积由实施单位回购。</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2、安置房房源地址</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hAnsiTheme="minorEastAsia" w:cstheme="minorEastAsia"/>
          <w:kern w:val="0"/>
          <w:sz w:val="32"/>
          <w:szCs w:val="32"/>
        </w:rPr>
        <w:t>本项目住宅安置房房源地址：瑞安市汀田街道联余商住地块，具体房源由补偿实施单位确定</w:t>
      </w:r>
      <w:r>
        <w:rPr>
          <w:rFonts w:hint="eastAsia" w:ascii="仿宋_GB2312" w:hAnsi="宋体" w:eastAsia="仿宋_GB2312" w:cs="宋体"/>
          <w:kern w:val="0"/>
          <w:sz w:val="32"/>
          <w:szCs w:val="32"/>
        </w:rPr>
        <w:t>。</w:t>
      </w:r>
      <w:r>
        <w:rPr>
          <w:rFonts w:hint="eastAsia" w:ascii="仿宋_GB2312" w:eastAsia="仿宋_GB2312" w:hAnsiTheme="minorEastAsia" w:cstheme="minorEastAsia"/>
          <w:kern w:val="0"/>
          <w:sz w:val="32"/>
          <w:szCs w:val="32"/>
        </w:rPr>
        <w:t>建设单位为瑞安市东新产城开发建设投资有限公司。</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eastAsia="仿宋_GB2312" w:hAnsiTheme="minorEastAsia" w:cstheme="minorEastAsia"/>
          <w:kern w:val="0"/>
          <w:sz w:val="32"/>
          <w:szCs w:val="32"/>
        </w:rPr>
        <w:t>、</w:t>
      </w:r>
      <w:r>
        <w:rPr>
          <w:rFonts w:hint="eastAsia" w:ascii="仿宋_GB2312" w:hAnsi="宋体" w:eastAsia="仿宋_GB2312" w:cs="宋体"/>
          <w:kern w:val="0"/>
          <w:sz w:val="32"/>
          <w:szCs w:val="32"/>
        </w:rPr>
        <w:t>安置房源套型选购及建设标准</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安置</w:t>
      </w:r>
      <w:r>
        <w:rPr>
          <w:rFonts w:hint="eastAsia" w:ascii="仿宋_GB2312" w:eastAsia="仿宋_GB2312" w:hAnsiTheme="minorEastAsia" w:cstheme="minorEastAsia"/>
          <w:kern w:val="0"/>
          <w:sz w:val="32"/>
          <w:szCs w:val="32"/>
        </w:rPr>
        <w:t>房源为高层毛坯期房，</w:t>
      </w:r>
      <w:r>
        <w:rPr>
          <w:rFonts w:hint="eastAsia" w:ascii="仿宋_GB2312" w:hAnsi="宋体" w:eastAsia="仿宋_GB2312" w:cs="宋体"/>
          <w:kern w:val="0"/>
          <w:sz w:val="32"/>
          <w:szCs w:val="32"/>
        </w:rPr>
        <w:t>安置房</w:t>
      </w:r>
      <w:r>
        <w:rPr>
          <w:rFonts w:hint="eastAsia" w:ascii="仿宋_GB2312" w:eastAsia="仿宋_GB2312" w:hAnsiTheme="minorEastAsia" w:cstheme="minorEastAsia"/>
          <w:kern w:val="0"/>
          <w:sz w:val="32"/>
          <w:szCs w:val="32"/>
        </w:rPr>
        <w:t>建设标准符合建筑设计规范、工程质量标准；土地使用权类型为国有划拨，套型建筑面积约</w:t>
      </w:r>
      <w:r>
        <w:rPr>
          <w:rFonts w:hint="eastAsia" w:ascii="仿宋_GB2312" w:hAnsi="宋体" w:eastAsia="仿宋_GB2312" w:cs="宋体"/>
          <w:kern w:val="0"/>
          <w:sz w:val="32"/>
          <w:szCs w:val="32"/>
        </w:rPr>
        <w:t>为114</w:t>
      </w:r>
      <w:r>
        <w:rPr>
          <w:rFonts w:hint="eastAsia" w:ascii="Segoe UI Symbol" w:hAnsi="Segoe UI Symbol" w:eastAsia="Segoe UI Symbol" w:cs="Segoe UI Symbol"/>
          <w:kern w:val="0"/>
          <w:sz w:val="32"/>
          <w:szCs w:val="32"/>
        </w:rPr>
        <w:t>㎡</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140</w:t>
      </w:r>
      <w:r>
        <w:rPr>
          <w:rFonts w:hint="eastAsia" w:ascii="Segoe UI Symbol" w:hAnsi="Segoe UI Symbol" w:eastAsia="Segoe UI Symbol" w:cs="Segoe UI Symbol"/>
          <w:kern w:val="0"/>
          <w:sz w:val="32"/>
          <w:szCs w:val="32"/>
        </w:rPr>
        <w:t>㎡</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165</w:t>
      </w:r>
      <w:r>
        <w:rPr>
          <w:rFonts w:hint="eastAsia" w:ascii="Segoe UI Symbol" w:hAnsi="Segoe UI Symbol" w:eastAsia="Segoe UI Symbol" w:cs="Segoe UI Symbol"/>
          <w:kern w:val="0"/>
          <w:sz w:val="32"/>
          <w:szCs w:val="32"/>
        </w:rPr>
        <w:t>㎡</w:t>
      </w:r>
      <w:r>
        <w:rPr>
          <w:rFonts w:hint="eastAsia" w:ascii="仿宋_GB2312" w:hAnsi="宋体" w:eastAsia="仿宋_GB2312" w:cs="宋体"/>
          <w:kern w:val="0"/>
          <w:sz w:val="32"/>
          <w:szCs w:val="32"/>
        </w:rPr>
        <w:t>（具体套型面积以安置房竣工实测建筑面积为准）。房屋所有权人以与安置面积最接近的套型面积进行认购选择。</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4、安置房价格和房款结算标准</w:t>
      </w:r>
    </w:p>
    <w:p>
      <w:pPr>
        <w:widowControl/>
        <w:ind w:firstLine="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产权调换安置房房源价格以本安置房建设工程综合成本均价5100元/平方米为基准价（含每套配置一个停车位）；具体房源价格结合安置房位置、楼层、朝向等差价，实行一房一价，在安置房认购定位前由实施单位向房屋所有权人公布。</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5、剩余安置建筑面积回购款</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房屋所有权人按安置房套型选购后，房屋所有权人剩余安置建筑面积回购款直接转为购房款结算。</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剩余安置建筑面积回购款=住宅安置建筑面积回购单价</w:t>
      </w:r>
      <w:r>
        <w:rPr>
          <w:rFonts w:hint="eastAsia" w:ascii="仿宋_GB2312" w:hAnsi="Arial" w:eastAsia="仿宋_GB2312" w:cs="Arial"/>
          <w:kern w:val="0"/>
          <w:sz w:val="32"/>
          <w:szCs w:val="32"/>
        </w:rPr>
        <w:t>×</w:t>
      </w:r>
      <w:r>
        <w:rPr>
          <w:rFonts w:hint="eastAsia" w:ascii="仿宋_GB2312" w:eastAsia="仿宋_GB2312" w:hAnsiTheme="minorEastAsia" w:cstheme="minorEastAsia"/>
          <w:kern w:val="0"/>
          <w:sz w:val="32"/>
          <w:szCs w:val="32"/>
        </w:rPr>
        <w:t>剩余安置建筑面积。</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6、安置房购房款缴纳</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征地房屋重置成新价、地面上其他附着物补偿费和剩余安置建筑面积回购款等直接转为第一期购房款；在安置房认购定位前缴纳第二期购房款，缴纳金额应达到补偿安置协议书约定的安置房购房款总价70％及以上；在安置房竣工交付前缴纳第三期购房款，缴纳金额应达到补偿安置协议书约定安置房购房款总价90％及以上；余款在安置房申请办理不动产权证前结清（具体交款时间以交款书面通知或公告为准）。</w:t>
      </w:r>
    </w:p>
    <w:p>
      <w:pPr>
        <w:widowControl/>
        <w:ind w:firstLine="640" w:firstLineChars="200"/>
        <w:jc w:val="left"/>
        <w:rPr>
          <w:rFonts w:ascii="黑体" w:hAnsi="黑体" w:eastAsia="黑体" w:cstheme="minorEastAsia"/>
          <w:sz w:val="32"/>
          <w:szCs w:val="32"/>
        </w:rPr>
      </w:pPr>
      <w:r>
        <w:rPr>
          <w:rFonts w:hint="eastAsia" w:ascii="黑体" w:hAnsi="黑体" w:eastAsia="黑体" w:cstheme="minorEastAsia"/>
          <w:color w:val="404040"/>
          <w:kern w:val="0"/>
          <w:sz w:val="32"/>
          <w:szCs w:val="32"/>
        </w:rPr>
        <w:t>七、奖励措施</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（一）房屋所有权人在本方案规定签约时间内签约的，给予征地房屋每一自然间15平方米的安置建筑面积奖励（征地房屋不足一自然间的按比率计算）。</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（二）房屋所有权人在</w:t>
      </w:r>
      <w:r>
        <w:rPr>
          <w:rFonts w:hint="eastAsia" w:ascii="楷体" w:hAnsi="楷体" w:eastAsia="楷体" w:cstheme="minorEastAsia"/>
          <w:sz w:val="32"/>
          <w:szCs w:val="32"/>
        </w:rPr>
        <w:t>按补偿协议书规定时间</w:t>
      </w:r>
      <w:r>
        <w:rPr>
          <w:rFonts w:hint="eastAsia" w:ascii="楷体" w:hAnsi="楷体" w:eastAsia="楷体" w:cstheme="minorEastAsia"/>
          <w:kern w:val="0"/>
          <w:sz w:val="32"/>
          <w:szCs w:val="32"/>
        </w:rPr>
        <w:t>内搬迁腾空验收合格的，给予征地房屋每一自然间20平方米的安置建筑面积奖励（征地房屋不足一自然间的按比率计算）。</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（三）选择货币补偿安置或剩余安置建筑面积货币回购</w:t>
      </w:r>
      <w:bookmarkStart w:id="2" w:name="_GoBack"/>
      <w:bookmarkEnd w:id="2"/>
      <w:r>
        <w:rPr>
          <w:rFonts w:hint="eastAsia" w:ascii="楷体" w:hAnsi="楷体" w:eastAsia="楷体" w:cstheme="minorEastAsia"/>
          <w:kern w:val="0"/>
          <w:sz w:val="32"/>
          <w:szCs w:val="32"/>
        </w:rPr>
        <w:t>的房屋所有权人，在规定期限内签订补偿协议并按时搬迁腾空的，予以安置建筑面积（含奖励面积）回购款10％的奖励。</w:t>
      </w:r>
    </w:p>
    <w:p>
      <w:pPr>
        <w:widowControl/>
        <w:ind w:firstLine="640" w:firstLineChars="200"/>
        <w:jc w:val="left"/>
        <w:rPr>
          <w:rFonts w:ascii="黑体" w:hAnsi="黑体" w:eastAsia="黑体" w:cstheme="minorEastAsia"/>
          <w:sz w:val="32"/>
          <w:szCs w:val="32"/>
        </w:rPr>
      </w:pPr>
      <w:r>
        <w:rPr>
          <w:rFonts w:hint="eastAsia" w:ascii="黑体" w:hAnsi="黑体" w:eastAsia="黑体" w:cstheme="minorEastAsia"/>
          <w:kern w:val="0"/>
          <w:sz w:val="32"/>
          <w:szCs w:val="32"/>
        </w:rPr>
        <w:t>八、安置事项</w:t>
      </w:r>
    </w:p>
    <w:p>
      <w:pPr>
        <w:pStyle w:val="4"/>
        <w:widowControl/>
        <w:spacing w:beforeAutospacing="0" w:afterAutospacing="0"/>
        <w:ind w:firstLine="640" w:firstLineChars="200"/>
        <w:rPr>
          <w:rFonts w:ascii="楷体" w:hAnsi="楷体" w:eastAsia="楷体" w:cstheme="minorEastAsia"/>
          <w:sz w:val="32"/>
          <w:szCs w:val="32"/>
        </w:rPr>
      </w:pPr>
      <w:r>
        <w:rPr>
          <w:rFonts w:hint="eastAsia" w:ascii="楷体" w:hAnsi="楷体" w:eastAsia="楷体" w:cstheme="minorEastAsia"/>
          <w:sz w:val="32"/>
          <w:szCs w:val="32"/>
        </w:rPr>
        <w:t>（一）安置房认购定位办法。</w:t>
      </w:r>
    </w:p>
    <w:p>
      <w:pPr>
        <w:pStyle w:val="4"/>
        <w:widowControl/>
        <w:spacing w:beforeAutospacing="0" w:afterAutospacing="0"/>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本项目安置房具体认购定位办法另行制定。</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（二）安置房房源设施权属及其他事项。</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1.安置房源的地下室停车位及地下空间权属归安置房建设单位所有。</w:t>
      </w:r>
    </w:p>
    <w:p>
      <w:pPr>
        <w:widowControl/>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选择产权调换的房屋所有权人，每套住宅安置用房可以配置一个地下停车位（价格包含在本安置房建设工程综合成本价中），地下停车位随同安置用房一并定位。</w:t>
      </w:r>
    </w:p>
    <w:p>
      <w:pPr>
        <w:pStyle w:val="4"/>
        <w:spacing w:beforeAutospacing="0" w:afterAutospacing="0"/>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房屋所有权人在安置房交付时应当按规定缴纳物业维修基金和维修保证金，签订首期物业服务合同，并缴纳物业管理服务费等相关费用。首期物业服务单位由安置房建设单位根据相关规定选定。煤气、水、电等初（报）装费用，按规定由房屋所有权人负担，在安置房交付时由房源建设单位代收代付。</w:t>
      </w:r>
    </w:p>
    <w:p>
      <w:pPr>
        <w:widowControl/>
        <w:ind w:firstLine="640" w:firstLineChars="200"/>
        <w:jc w:val="left"/>
        <w:rPr>
          <w:rFonts w:ascii="黑体" w:hAnsi="黑体" w:eastAsia="黑体" w:cstheme="minorEastAsia"/>
          <w:sz w:val="32"/>
          <w:szCs w:val="32"/>
        </w:rPr>
      </w:pPr>
      <w:r>
        <w:rPr>
          <w:rFonts w:hint="eastAsia" w:ascii="黑体" w:hAnsi="黑体" w:eastAsia="黑体" w:cstheme="minorEastAsia"/>
          <w:color w:val="404040"/>
          <w:kern w:val="0"/>
          <w:sz w:val="32"/>
          <w:szCs w:val="32"/>
        </w:rPr>
        <w:t>九、房地产评估机构的选择方式</w:t>
      </w:r>
    </w:p>
    <w:p>
      <w:pPr>
        <w:widowControl/>
        <w:ind w:firstLine="640" w:firstLineChars="200"/>
        <w:jc w:val="left"/>
        <w:rPr>
          <w:rFonts w:ascii="仿宋_GB2312" w:eastAsia="仿宋_GB2312" w:hAnsiTheme="minorEastAsia" w:cstheme="minorEastAsia"/>
          <w:sz w:val="32"/>
          <w:szCs w:val="32"/>
        </w:rPr>
      </w:pPr>
      <w:r>
        <w:rPr>
          <w:rFonts w:hint="eastAsia" w:ascii="仿宋_GB2312" w:eastAsia="仿宋_GB2312" w:hAnsiTheme="minorEastAsia" w:cstheme="minorEastAsia"/>
          <w:kern w:val="0"/>
          <w:sz w:val="32"/>
          <w:szCs w:val="32"/>
        </w:rPr>
        <w:t>房地产价格评估机构由房屋所有权人协商选定；本补偿方案公告后十日内仍不能协商选定的，由实施单位组织房屋所有权人按照少数服从多数的原则投票确定，或者采取摇号、抽签等方式随机确定。</w:t>
      </w:r>
    </w:p>
    <w:p>
      <w:pPr>
        <w:widowControl/>
        <w:spacing w:line="555" w:lineRule="atLeast"/>
        <w:ind w:firstLine="645"/>
        <w:jc w:val="left"/>
        <w:rPr>
          <w:rFonts w:ascii="黑体" w:hAnsi="黑体" w:eastAsia="黑体" w:cstheme="minorEastAsia"/>
          <w:sz w:val="32"/>
          <w:szCs w:val="32"/>
        </w:rPr>
      </w:pPr>
      <w:r>
        <w:rPr>
          <w:rFonts w:hint="eastAsia" w:ascii="黑体" w:hAnsi="黑体" w:eastAsia="黑体" w:cstheme="minorEastAsia"/>
          <w:color w:val="404040"/>
          <w:kern w:val="0"/>
          <w:sz w:val="32"/>
          <w:szCs w:val="32"/>
        </w:rPr>
        <w:t>十、其他规定</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一）房屋所有权人应在本方案规定的签约期限内凭《不动产权证书》或《房屋所有权证》《土地使用证》、经认定为合法或其他合法有效凭证、身份证、户口本，在规定期限内与实施单位签订征地房屋补偿安置协议。协议签订时，房屋所有权人应将《不动产权证书》或《房屋所有权证书》《土地使用权证书》及有关证件和注销申请报告、委托书、身份证明等相关材料交给实施单位，由实施单位统一向不动产登记机构办理房屋所有权、土地使用权注销登记手续。</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征地房屋的水费、电费、电视、宽带费等费用，由房屋所有权人</w:t>
      </w:r>
      <w:r>
        <w:rPr>
          <w:rFonts w:hint="eastAsia" w:ascii="楷体" w:hAnsi="楷体" w:eastAsia="楷体" w:cstheme="minorEastAsia"/>
          <w:sz w:val="32"/>
          <w:szCs w:val="32"/>
        </w:rPr>
        <w:t>在申请腾空验收之前</w:t>
      </w:r>
      <w:r>
        <w:rPr>
          <w:rFonts w:hint="eastAsia" w:ascii="楷体" w:hAnsi="楷体" w:eastAsia="楷体" w:cstheme="minorEastAsia"/>
          <w:kern w:val="0"/>
          <w:sz w:val="32"/>
          <w:szCs w:val="32"/>
        </w:rPr>
        <w:t>自行到相关单位缴清。</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（二）实施单位与房屋所有权人依照本方案就补偿方式、补偿金额和支付期限、安置方式、安置地点和面积、搬迁期限、过渡方式、过渡期限和违约责任等事项，签订征地房屋补偿安置协议。</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（三）实施单位与房屋所有权人在本方案确定的签约期限内达不成征地房屋补偿安置协议的，由实施单位报请市自然资源和规划局依法作出责令交地决定。</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（四）拆除有产权、使用权纠纷或者其他产权不明的房屋，在本方案确定的签约期限内不能解决纠纷或者明晰产权、使用权的，在房屋补偿拆除前，由实施单位向公证机关申请办理证据保全手续。</w:t>
      </w:r>
    </w:p>
    <w:p>
      <w:pPr>
        <w:widowControl/>
        <w:ind w:firstLine="640" w:firstLineChars="200"/>
        <w:jc w:val="left"/>
        <w:rPr>
          <w:rFonts w:ascii="楷体" w:hAnsi="楷体" w:eastAsia="楷体" w:cstheme="minorEastAsia"/>
          <w:kern w:val="0"/>
          <w:sz w:val="32"/>
          <w:szCs w:val="32"/>
        </w:rPr>
      </w:pPr>
      <w:r>
        <w:rPr>
          <w:rFonts w:hint="eastAsia" w:ascii="楷体" w:hAnsi="楷体" w:eastAsia="楷体" w:cstheme="minorEastAsia"/>
          <w:kern w:val="0"/>
          <w:sz w:val="32"/>
          <w:szCs w:val="32"/>
        </w:rPr>
        <w:t>（五）房屋所有权人应当按规定期限签订征地房屋补偿安置协议，并按《征地房屋补偿安置协议书》规定的期限内完成搬迁，办理房屋腾空移交手续，并将征地房屋交给实施单位验收接管，由实施单位统一组织拆除。</w:t>
      </w:r>
    </w:p>
    <w:p>
      <w:pPr>
        <w:widowControl/>
        <w:ind w:firstLine="640" w:firstLineChars="200"/>
        <w:jc w:val="left"/>
        <w:rPr>
          <w:rFonts w:ascii="楷体" w:hAnsi="楷体" w:eastAsia="楷体" w:cstheme="minorEastAsia"/>
          <w:sz w:val="32"/>
          <w:szCs w:val="32"/>
        </w:rPr>
      </w:pPr>
      <w:r>
        <w:rPr>
          <w:rFonts w:hint="eastAsia" w:ascii="楷体" w:hAnsi="楷体" w:eastAsia="楷体" w:cstheme="minorEastAsia"/>
          <w:kern w:val="0"/>
          <w:sz w:val="32"/>
          <w:szCs w:val="32"/>
        </w:rPr>
        <w:t>（六）本方案自发布之日起施行。本方案未尽事宜按照瑞安市政府有关规定执行，或由市政府另作补充规定。</w:t>
      </w:r>
    </w:p>
    <w:p>
      <w:r>
        <w:rPr>
          <w:rFonts w:hint="eastAsia" w:ascii="楷体" w:hAnsi="楷体" w:eastAsia="楷体" w:cstheme="minorEastAsia"/>
          <w:kern w:val="0"/>
          <w:sz w:val="32"/>
          <w:szCs w:val="32"/>
        </w:rPr>
        <w:t>（七）本方案由征地房屋补偿部门负责解释。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3885"/>
    <w:multiLevelType w:val="multilevel"/>
    <w:tmpl w:val="8D583885"/>
    <w:lvl w:ilvl="0" w:tentative="0">
      <w:start w:val="1"/>
      <w:numFmt w:val="chineseCountingThousand"/>
      <w:pStyle w:val="9"/>
      <w:suff w:val="nothing"/>
      <w:lvlText w:val="%1、 "/>
      <w:lvlJc w:val="left"/>
      <w:pPr>
        <w:ind w:left="0" w:firstLine="0"/>
      </w:pPr>
      <w:rPr>
        <w:rFonts w:hint="eastAsia"/>
      </w:rPr>
    </w:lvl>
    <w:lvl w:ilvl="1" w:tentative="0">
      <w:start w:val="1"/>
      <w:numFmt w:val="decimal"/>
      <w:pStyle w:val="17"/>
      <w:isLgl/>
      <w:suff w:val="nothing"/>
      <w:lvlText w:val="%1.%2 "/>
      <w:lvlJc w:val="left"/>
      <w:pPr>
        <w:ind w:left="0" w:firstLine="0"/>
      </w:pPr>
      <w:rPr>
        <w:rFonts w:hint="eastAsia"/>
      </w:rPr>
    </w:lvl>
    <w:lvl w:ilvl="2" w:tentative="0">
      <w:start w:val="1"/>
      <w:numFmt w:val="decimal"/>
      <w:pStyle w:val="11"/>
      <w:isLgl/>
      <w:suff w:val="nothing"/>
      <w:lvlText w:val="%1.%2.%3 "/>
      <w:lvlJc w:val="left"/>
      <w:pPr>
        <w:ind w:left="0" w:firstLine="0"/>
      </w:pPr>
      <w:rPr>
        <w:rFonts w:hint="eastAsia"/>
      </w:rPr>
    </w:lvl>
    <w:lvl w:ilvl="3" w:tentative="0">
      <w:start w:val="1"/>
      <w:numFmt w:val="decimal"/>
      <w:pStyle w:val="19"/>
      <w:isLgl/>
      <w:suff w:val="nothing"/>
      <w:lvlText w:val="%1.%2.%3.%4 "/>
      <w:lvlJc w:val="left"/>
      <w:pPr>
        <w:ind w:left="0" w:firstLine="0"/>
      </w:pPr>
      <w:rPr>
        <w:rFonts w:hint="eastAsia"/>
      </w:rPr>
    </w:lvl>
    <w:lvl w:ilvl="4" w:tentative="0">
      <w:start w:val="1"/>
      <w:numFmt w:val="decimal"/>
      <w:pStyle w:val="20"/>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8E844E7F"/>
    <w:multiLevelType w:val="multilevel"/>
    <w:tmpl w:val="8E844E7F"/>
    <w:lvl w:ilvl="0" w:tentative="0">
      <w:start w:val="1"/>
      <w:numFmt w:val="chineseCountingThousand"/>
      <w:suff w:val="nothing"/>
      <w:lvlText w:val="%1、 "/>
      <w:lvlJc w:val="left"/>
      <w:pPr>
        <w:ind w:left="0" w:firstLine="0"/>
      </w:pPr>
      <w:rPr>
        <w:rFonts w:hint="eastAsia"/>
      </w:rPr>
    </w:lvl>
    <w:lvl w:ilvl="1" w:tentative="0">
      <w:start w:val="1"/>
      <w:numFmt w:val="decimal"/>
      <w:isLgl/>
      <w:suff w:val="nothing"/>
      <w:lvlText w:val="%1.%2 "/>
      <w:lvlJc w:val="left"/>
      <w:pPr>
        <w:ind w:left="0" w:firstLine="0"/>
      </w:pPr>
      <w:rPr>
        <w:rFonts w:hint="eastAsia"/>
      </w:rPr>
    </w:lvl>
    <w:lvl w:ilvl="2" w:tentative="0">
      <w:start w:val="1"/>
      <w:numFmt w:val="decimal"/>
      <w:pStyle w:val="18"/>
      <w:isLgl/>
      <w:suff w:val="nothing"/>
      <w:lvlText w:val="%1.%2.%3 "/>
      <w:lvlJc w:val="left"/>
      <w:pPr>
        <w:ind w:left="0" w:firstLine="0"/>
      </w:pPr>
      <w:rPr>
        <w:rFonts w:hint="eastAsia"/>
      </w:rPr>
    </w:lvl>
    <w:lvl w:ilvl="3" w:tentative="0">
      <w:start w:val="1"/>
      <w:numFmt w:val="decimal"/>
      <w:isLgl/>
      <w:suff w:val="nothing"/>
      <w:lvlText w:val="%1.%2.%3.%4 "/>
      <w:lvlJc w:val="left"/>
      <w:pPr>
        <w:ind w:left="0" w:firstLine="0"/>
      </w:pPr>
      <w:rPr>
        <w:rFonts w:hint="eastAsia"/>
      </w:rPr>
    </w:lvl>
    <w:lvl w:ilvl="4" w:tentative="0">
      <w:start w:val="1"/>
      <w:numFmt w:val="decimal"/>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1DC71EAF"/>
    <w:rsid w:val="02667211"/>
    <w:rsid w:val="03594AB4"/>
    <w:rsid w:val="03CD7399"/>
    <w:rsid w:val="068609F0"/>
    <w:rsid w:val="069E4FBD"/>
    <w:rsid w:val="075108A1"/>
    <w:rsid w:val="084471DD"/>
    <w:rsid w:val="0A0023A0"/>
    <w:rsid w:val="0CDB55C9"/>
    <w:rsid w:val="0E8B720E"/>
    <w:rsid w:val="11463BB5"/>
    <w:rsid w:val="1C7D1531"/>
    <w:rsid w:val="1DC71EAF"/>
    <w:rsid w:val="1E5C6CD8"/>
    <w:rsid w:val="1F2B7A98"/>
    <w:rsid w:val="213369D8"/>
    <w:rsid w:val="22ED3BB1"/>
    <w:rsid w:val="235D4E6D"/>
    <w:rsid w:val="24DA1C44"/>
    <w:rsid w:val="25CE01C1"/>
    <w:rsid w:val="2A6238A3"/>
    <w:rsid w:val="2BA77E19"/>
    <w:rsid w:val="2E7744E4"/>
    <w:rsid w:val="3234540E"/>
    <w:rsid w:val="36B93435"/>
    <w:rsid w:val="3B430EEF"/>
    <w:rsid w:val="3D4C3629"/>
    <w:rsid w:val="3EC63DAF"/>
    <w:rsid w:val="435579BE"/>
    <w:rsid w:val="44FF1D9C"/>
    <w:rsid w:val="47CC76CD"/>
    <w:rsid w:val="48444622"/>
    <w:rsid w:val="49EE1343"/>
    <w:rsid w:val="4B866DBF"/>
    <w:rsid w:val="4E42723E"/>
    <w:rsid w:val="50C150FB"/>
    <w:rsid w:val="560F7778"/>
    <w:rsid w:val="562A24B1"/>
    <w:rsid w:val="56AC6135"/>
    <w:rsid w:val="5D986F20"/>
    <w:rsid w:val="61F475BA"/>
    <w:rsid w:val="62074412"/>
    <w:rsid w:val="626640DF"/>
    <w:rsid w:val="6488061C"/>
    <w:rsid w:val="653A6725"/>
    <w:rsid w:val="65482515"/>
    <w:rsid w:val="69FB74FF"/>
    <w:rsid w:val="71BE07C7"/>
    <w:rsid w:val="735E1D45"/>
    <w:rsid w:val="73D01F0E"/>
    <w:rsid w:val="742A2101"/>
    <w:rsid w:val="7BDB1130"/>
    <w:rsid w:val="7CB1735D"/>
    <w:rsid w:val="7EBB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iPriority w:val="0"/>
    <w:rPr>
      <w:rFonts w:ascii="宋体" w:hAnsi="Courier New"/>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大标"/>
    <w:qFormat/>
    <w:uiPriority w:val="0"/>
    <w:pPr>
      <w:jc w:val="center"/>
    </w:pPr>
    <w:rPr>
      <w:rFonts w:eastAsia="宋体" w:asciiTheme="minorAscii" w:hAnsiTheme="minorAscii" w:cstheme="minorBidi"/>
      <w:sz w:val="32"/>
    </w:rPr>
  </w:style>
  <w:style w:type="paragraph" w:customStyle="1" w:styleId="9">
    <w:name w:val="1级目录"/>
    <w:basedOn w:val="1"/>
    <w:link w:val="16"/>
    <w:qFormat/>
    <w:uiPriority w:val="0"/>
    <w:pPr>
      <w:numPr>
        <w:ilvl w:val="0"/>
        <w:numId w:val="1"/>
      </w:numPr>
      <w:tabs>
        <w:tab w:val="left" w:pos="0"/>
        <w:tab w:val="left" w:pos="420"/>
      </w:tabs>
      <w:spacing w:line="360" w:lineRule="auto"/>
      <w:ind w:left="0" w:firstLine="0"/>
      <w:outlineLvl w:val="0"/>
    </w:pPr>
    <w:rPr>
      <w:rFonts w:eastAsia="黑体" w:asciiTheme="minorAscii" w:hAnsiTheme="minorAscii"/>
      <w:sz w:val="28"/>
    </w:rPr>
  </w:style>
  <w:style w:type="paragraph" w:customStyle="1" w:styleId="10">
    <w:name w:val="2级目录"/>
    <w:basedOn w:val="9"/>
    <w:qFormat/>
    <w:uiPriority w:val="0"/>
    <w:pPr>
      <w:numPr>
        <w:ilvl w:val="1"/>
      </w:numPr>
      <w:ind w:left="0" w:firstLine="0"/>
      <w:outlineLvl w:val="1"/>
    </w:pPr>
    <w:rPr>
      <w:rFonts w:eastAsia="宋体"/>
      <w:b/>
    </w:rPr>
  </w:style>
  <w:style w:type="paragraph" w:customStyle="1" w:styleId="11">
    <w:name w:val="3级目录"/>
    <w:basedOn w:val="10"/>
    <w:link w:val="21"/>
    <w:qFormat/>
    <w:uiPriority w:val="0"/>
    <w:pPr>
      <w:numPr>
        <w:ilvl w:val="2"/>
      </w:numPr>
      <w:spacing w:line="360" w:lineRule="auto"/>
      <w:ind w:left="0" w:firstLine="0"/>
      <w:outlineLvl w:val="2"/>
    </w:pPr>
    <w:rPr>
      <w:rFonts w:eastAsia="宋体" w:cs="Times New Roman"/>
      <w:szCs w:val="22"/>
    </w:rPr>
  </w:style>
  <w:style w:type="paragraph" w:customStyle="1" w:styleId="12">
    <w:name w:val="4级目录"/>
    <w:basedOn w:val="11"/>
    <w:qFormat/>
    <w:uiPriority w:val="0"/>
    <w:pPr>
      <w:numPr>
        <w:ilvl w:val="3"/>
      </w:numPr>
      <w:ind w:left="0" w:firstLine="0"/>
      <w:outlineLvl w:val="3"/>
    </w:pPr>
    <w:rPr>
      <w:sz w:val="24"/>
    </w:rPr>
  </w:style>
  <w:style w:type="paragraph" w:customStyle="1" w:styleId="13">
    <w:name w:val="5级目录"/>
    <w:basedOn w:val="12"/>
    <w:qFormat/>
    <w:uiPriority w:val="0"/>
    <w:pPr>
      <w:numPr>
        <w:ilvl w:val="4"/>
      </w:numPr>
      <w:ind w:left="0" w:firstLine="0"/>
      <w:outlineLvl w:val="4"/>
    </w:pPr>
    <w:rPr>
      <w:b w:val="0"/>
    </w:rPr>
  </w:style>
  <w:style w:type="paragraph" w:customStyle="1" w:styleId="14">
    <w:name w:val="正文标书"/>
    <w:next w:val="3"/>
    <w:link w:val="22"/>
    <w:qFormat/>
    <w:uiPriority w:val="0"/>
    <w:pPr>
      <w:tabs>
        <w:tab w:val="left" w:pos="0"/>
        <w:tab w:val="left" w:pos="420"/>
      </w:tabs>
      <w:spacing w:line="360" w:lineRule="auto"/>
      <w:ind w:left="0" w:firstLine="420" w:firstLineChars="200"/>
      <w:outlineLvl w:val="9"/>
    </w:pPr>
    <w:rPr>
      <w:rFonts w:ascii="Calibri" w:hAnsi="Calibri" w:eastAsia="宋体" w:cstheme="minorBidi"/>
      <w:sz w:val="21"/>
    </w:rPr>
  </w:style>
  <w:style w:type="paragraph" w:customStyle="1" w:styleId="15">
    <w:name w:val="目录"/>
    <w:basedOn w:val="1"/>
    <w:qFormat/>
    <w:uiPriority w:val="0"/>
    <w:pPr>
      <w:jc w:val="center"/>
    </w:pPr>
    <w:rPr>
      <w:rFonts w:asciiTheme="minorAscii" w:hAnsiTheme="minorAscii"/>
      <w:sz w:val="32"/>
    </w:rPr>
  </w:style>
  <w:style w:type="character" w:customStyle="1" w:styleId="16">
    <w:name w:val="1级目录 Char"/>
    <w:link w:val="9"/>
    <w:qFormat/>
    <w:uiPriority w:val="0"/>
    <w:rPr>
      <w:rFonts w:eastAsia="黑体" w:asciiTheme="minorAscii" w:hAnsiTheme="minorAscii"/>
      <w:sz w:val="28"/>
    </w:rPr>
  </w:style>
  <w:style w:type="paragraph" w:customStyle="1" w:styleId="17">
    <w:name w:val="级别2"/>
    <w:basedOn w:val="1"/>
    <w:uiPriority w:val="0"/>
    <w:pPr>
      <w:numPr>
        <w:ilvl w:val="1"/>
        <w:numId w:val="1"/>
      </w:numPr>
    </w:pPr>
  </w:style>
  <w:style w:type="paragraph" w:customStyle="1" w:styleId="18">
    <w:name w:val="级别3"/>
    <w:basedOn w:val="1"/>
    <w:uiPriority w:val="0"/>
    <w:pPr>
      <w:numPr>
        <w:ilvl w:val="2"/>
        <w:numId w:val="2"/>
      </w:numPr>
    </w:pPr>
  </w:style>
  <w:style w:type="paragraph" w:customStyle="1" w:styleId="19">
    <w:name w:val="级别4"/>
    <w:basedOn w:val="1"/>
    <w:uiPriority w:val="0"/>
    <w:pPr>
      <w:numPr>
        <w:ilvl w:val="3"/>
        <w:numId w:val="1"/>
      </w:numPr>
    </w:pPr>
  </w:style>
  <w:style w:type="paragraph" w:customStyle="1" w:styleId="20">
    <w:name w:val="级别5"/>
    <w:basedOn w:val="1"/>
    <w:uiPriority w:val="0"/>
    <w:pPr>
      <w:numPr>
        <w:ilvl w:val="4"/>
        <w:numId w:val="1"/>
      </w:numPr>
    </w:pPr>
  </w:style>
  <w:style w:type="character" w:customStyle="1" w:styleId="21">
    <w:name w:val="3级目录 Char"/>
    <w:link w:val="11"/>
    <w:uiPriority w:val="0"/>
    <w:rPr>
      <w:rFonts w:eastAsia="宋体" w:cs="Times New Roman"/>
      <w:b/>
      <w:szCs w:val="22"/>
    </w:rPr>
  </w:style>
  <w:style w:type="character" w:customStyle="1" w:styleId="22">
    <w:name w:val="正文标书 Char"/>
    <w:link w:val="14"/>
    <w:uiPriority w:val="0"/>
    <w:rPr>
      <w:rFonts w:ascii="Calibri" w:hAnsi="Calibri" w:eastAsia="宋体" w:cstheme="minorBidi"/>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2021-04-20T01:09:00Z</dcterms:created>
  <dc:creator>金畅畅</dc:creator>
  <cp:lastModifiedBy>Administrator</cp:lastModifiedBy>
  <dcterms:modified xsi:type="dcterms:W3CDTF">2023-09-20T09:05:06Z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015946C344934ED1BA2BD3E35C2738FC</vt:lpwstr>
  </property>
</Properties>
</file>