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D7D0" w14:textId="7711A8FD" w:rsidR="00686575" w:rsidRPr="00444D6B" w:rsidRDefault="006E7A8A" w:rsidP="00210E4F">
      <w:pPr>
        <w:pStyle w:val="a5"/>
        <w:widowControl/>
        <w:spacing w:beforeLines="50" w:before="156" w:beforeAutospacing="0" w:afterLines="50" w:after="156" w:afterAutospacing="0" w:line="360" w:lineRule="auto"/>
        <w:jc w:val="center"/>
        <w:rPr>
          <w:rFonts w:ascii="黑体" w:eastAsia="黑体" w:hAnsi="黑体" w:cs="方正小标宋简体"/>
          <w:color w:val="404040"/>
          <w:sz w:val="48"/>
          <w:szCs w:val="48"/>
        </w:rPr>
      </w:pPr>
      <w:bookmarkStart w:id="0" w:name="_GoBack"/>
      <w:bookmarkEnd w:id="0"/>
      <w:r w:rsidRPr="00925402">
        <w:rPr>
          <w:rFonts w:ascii="黑体" w:eastAsia="黑体" w:hAnsi="黑体" w:cs="方正小标宋简体"/>
          <w:color w:val="404040"/>
          <w:sz w:val="48"/>
          <w:szCs w:val="48"/>
        </w:rPr>
        <w:t>瑞安市南滨江</w:t>
      </w:r>
      <w:r w:rsidRPr="00925402">
        <w:rPr>
          <w:rFonts w:ascii="黑体" w:eastAsia="黑体" w:hAnsi="黑体" w:cs="方正小标宋简体" w:hint="eastAsia"/>
          <w:color w:val="404040"/>
          <w:sz w:val="48"/>
          <w:szCs w:val="48"/>
        </w:rPr>
        <w:t>石碣门团块</w:t>
      </w:r>
      <w:r w:rsidRPr="00925402">
        <w:rPr>
          <w:rFonts w:ascii="黑体" w:eastAsia="黑体" w:hAnsi="黑体" w:cs="方正小标宋简体"/>
          <w:color w:val="404040"/>
          <w:sz w:val="48"/>
          <w:szCs w:val="48"/>
        </w:rPr>
        <w:t>改造工程征收</w:t>
      </w:r>
      <w:r w:rsidRPr="00444D6B">
        <w:rPr>
          <w:rFonts w:ascii="黑体" w:eastAsia="黑体" w:hAnsi="黑体" w:cs="方正小标宋简体"/>
          <w:color w:val="404040"/>
          <w:sz w:val="48"/>
          <w:szCs w:val="48"/>
        </w:rPr>
        <w:t>集体所有土地涉及房屋补偿方案</w:t>
      </w:r>
    </w:p>
    <w:p w14:paraId="14CB7130" w14:textId="7B8CFBA0" w:rsidR="00686575" w:rsidRPr="00444D6B" w:rsidRDefault="006E7A8A" w:rsidP="00210E4F">
      <w:pPr>
        <w:pStyle w:val="a5"/>
        <w:widowControl/>
        <w:spacing w:beforeLines="50" w:before="156" w:beforeAutospacing="0" w:afterLines="50" w:after="156" w:afterAutospacing="0" w:line="360" w:lineRule="auto"/>
        <w:jc w:val="center"/>
        <w:rPr>
          <w:rFonts w:asciiTheme="minorEastAsia" w:hAnsiTheme="minorEastAsia" w:cs="仿宋_GB2312"/>
          <w:color w:val="404040"/>
          <w:sz w:val="48"/>
          <w:szCs w:val="48"/>
        </w:rPr>
      </w:pPr>
      <w:r w:rsidRPr="00444D6B">
        <w:rPr>
          <w:rFonts w:ascii="黑体" w:eastAsia="黑体" w:hAnsi="黑体" w:cs="方正小标宋简体" w:hint="eastAsia"/>
          <w:color w:val="404040"/>
          <w:sz w:val="32"/>
          <w:szCs w:val="32"/>
        </w:rPr>
        <w:t>（征求意见稿）</w:t>
      </w:r>
    </w:p>
    <w:p w14:paraId="4D212713" w14:textId="77777777" w:rsidR="00302129" w:rsidRDefault="00302129" w:rsidP="00302129">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p>
    <w:p w14:paraId="5BC1E94C" w14:textId="68C0F26D"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为规范瑞安市南滨江石碣门团块改造工程征收集体所有土地涉及房屋补偿（以下简称</w:t>
      </w:r>
      <w:r w:rsidRPr="00444D6B">
        <w:rPr>
          <w:rFonts w:asciiTheme="minorEastAsia" w:hAnsiTheme="minorEastAsia" w:cs="仿宋_GB2312"/>
          <w:color w:val="404040"/>
          <w:sz w:val="28"/>
          <w:szCs w:val="28"/>
        </w:rPr>
        <w:t>“</w:t>
      </w:r>
      <w:r w:rsidRPr="00444D6B">
        <w:rPr>
          <w:rFonts w:asciiTheme="minorEastAsia" w:hAnsiTheme="minorEastAsia" w:cs="仿宋_GB2312" w:hint="eastAsia"/>
          <w:color w:val="404040"/>
          <w:sz w:val="28"/>
          <w:szCs w:val="28"/>
        </w:rPr>
        <w:t>征地房屋补偿</w:t>
      </w:r>
      <w:r w:rsidRPr="00444D6B">
        <w:rPr>
          <w:rFonts w:asciiTheme="minorEastAsia" w:hAnsiTheme="minorEastAsia" w:cs="仿宋_GB2312"/>
          <w:color w:val="404040"/>
          <w:sz w:val="28"/>
          <w:szCs w:val="28"/>
        </w:rPr>
        <w:t>”</w:t>
      </w:r>
      <w:r w:rsidRPr="00444D6B">
        <w:rPr>
          <w:rFonts w:asciiTheme="minorEastAsia" w:hAnsiTheme="minorEastAsia" w:cs="仿宋_GB2312" w:hint="eastAsia"/>
          <w:color w:val="404040"/>
          <w:sz w:val="28"/>
          <w:szCs w:val="28"/>
        </w:rPr>
        <w:t>）工作，保障征地范围内房屋所有权人的合法权益，根据《中华人民共和国土地管理法》及参照《国有土地上房屋征收与补偿条例》等法律法规和相关政策的规定，结合本工程的实际情况，特制定本方案。</w:t>
      </w:r>
    </w:p>
    <w:p w14:paraId="391FDE8E"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b/>
          <w:bCs/>
          <w:sz w:val="28"/>
          <w:szCs w:val="28"/>
        </w:rPr>
      </w:pPr>
      <w:r w:rsidRPr="00444D6B">
        <w:rPr>
          <w:rFonts w:asciiTheme="minorEastAsia" w:hAnsiTheme="minorEastAsia" w:cs="黑体" w:hint="eastAsia"/>
          <w:b/>
          <w:bCs/>
          <w:color w:val="404040"/>
          <w:sz w:val="28"/>
          <w:szCs w:val="28"/>
        </w:rPr>
        <w:t>一、补偿范围</w:t>
      </w:r>
    </w:p>
    <w:p w14:paraId="16A9AE2D"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瑞安市南滨江石碣门团块改造工程征地房屋补偿范围为：东侧为孙宋线、南侧为宋家埭村和下厂村、西侧为工业区、北侧为横河和浦口村（具体以征地范围为准）。</w:t>
      </w:r>
    </w:p>
    <w:p w14:paraId="068BBDDB"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在上述集体所有土地征收范围内涉及对集体土地上房屋所有权人（以下统称</w:t>
      </w:r>
      <w:r w:rsidRPr="00444D6B">
        <w:rPr>
          <w:rFonts w:asciiTheme="minorEastAsia" w:hAnsiTheme="minorEastAsia" w:cs="仿宋_GB2312"/>
          <w:color w:val="404040"/>
          <w:sz w:val="28"/>
          <w:szCs w:val="28"/>
        </w:rPr>
        <w:t>“</w:t>
      </w:r>
      <w:r w:rsidRPr="00444D6B">
        <w:rPr>
          <w:rFonts w:asciiTheme="minorEastAsia" w:hAnsiTheme="minorEastAsia" w:cs="仿宋_GB2312" w:hint="eastAsia"/>
          <w:color w:val="404040"/>
          <w:sz w:val="28"/>
          <w:szCs w:val="28"/>
        </w:rPr>
        <w:t>房屋所有权人</w:t>
      </w:r>
      <w:r w:rsidRPr="00444D6B">
        <w:rPr>
          <w:rFonts w:asciiTheme="minorEastAsia" w:hAnsiTheme="minorEastAsia" w:cs="仿宋_GB2312"/>
          <w:color w:val="404040"/>
          <w:sz w:val="28"/>
          <w:szCs w:val="28"/>
        </w:rPr>
        <w:t>”</w:t>
      </w:r>
      <w:r w:rsidRPr="00444D6B">
        <w:rPr>
          <w:rFonts w:asciiTheme="minorEastAsia" w:hAnsiTheme="minorEastAsia" w:cs="仿宋_GB2312" w:hint="eastAsia"/>
          <w:color w:val="404040"/>
          <w:sz w:val="28"/>
          <w:szCs w:val="28"/>
        </w:rPr>
        <w:t>）补偿的，适用本方案。</w:t>
      </w:r>
    </w:p>
    <w:p w14:paraId="39FF354E"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黑体" w:hint="eastAsia"/>
          <w:color w:val="404040"/>
          <w:sz w:val="28"/>
          <w:szCs w:val="28"/>
        </w:rPr>
        <w:t>二、补偿实施单位</w:t>
      </w:r>
    </w:p>
    <w:p w14:paraId="0EACB466"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（一）征地房屋补偿部门：瑞安市自然资源和规划局</w:t>
      </w:r>
    </w:p>
    <w:p w14:paraId="12917656"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lastRenderedPageBreak/>
        <w:t>（二）征地房屋补偿实施单位（以下统称“实施单位”）：瑞安市飞云街道办事处。</w:t>
      </w:r>
    </w:p>
    <w:p w14:paraId="71758D71"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黑体" w:hint="eastAsia"/>
          <w:color w:val="404040"/>
          <w:sz w:val="28"/>
          <w:szCs w:val="28"/>
        </w:rPr>
        <w:t>三、签约期限</w:t>
      </w:r>
    </w:p>
    <w:p w14:paraId="45C01DD7" w14:textId="6A9E23C8"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自本征地补偿安置方案发布之日起</w:t>
      </w:r>
      <w:r w:rsidR="00B826BE" w:rsidRPr="00444D6B">
        <w:rPr>
          <w:rFonts w:asciiTheme="minorEastAsia" w:hAnsiTheme="minorEastAsia" w:cs="仿宋_GB2312"/>
          <w:color w:val="404040"/>
          <w:sz w:val="28"/>
          <w:szCs w:val="28"/>
        </w:rPr>
        <w:t>40</w:t>
      </w:r>
      <w:r w:rsidRPr="00444D6B">
        <w:rPr>
          <w:rFonts w:asciiTheme="minorEastAsia" w:hAnsiTheme="minorEastAsia" w:cs="仿宋_GB2312" w:hint="eastAsia"/>
          <w:color w:val="404040"/>
          <w:sz w:val="28"/>
          <w:szCs w:val="28"/>
        </w:rPr>
        <w:t>日内。</w:t>
      </w:r>
    </w:p>
    <w:p w14:paraId="76458942"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黑体" w:hint="eastAsia"/>
          <w:color w:val="404040"/>
          <w:sz w:val="28"/>
          <w:szCs w:val="28"/>
        </w:rPr>
        <w:t>四、补偿安置原则</w:t>
      </w:r>
    </w:p>
    <w:p w14:paraId="64AFA61B"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（一）征地房屋补偿安置以房屋不动产权证书或土地使用权证、房屋所有权证或其他合法有效证件记载的用途、面积或通过其他方式可以确定的用途、面积计算。</w:t>
      </w:r>
    </w:p>
    <w:p w14:paraId="418440D6"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（二）征地房屋房产土地权属未登记或登记不全的，根据《瑞安市人民政府办公室关于印发瑞安市征收集体土地范围内未登记房屋认定处置办法的通知》（瑞政办〔20</w:t>
      </w:r>
      <w:r w:rsidRPr="00444D6B">
        <w:rPr>
          <w:rFonts w:asciiTheme="minorEastAsia" w:hAnsiTheme="minorEastAsia" w:cs="仿宋_GB2312"/>
          <w:color w:val="404040"/>
          <w:sz w:val="28"/>
          <w:szCs w:val="28"/>
        </w:rPr>
        <w:t>21</w:t>
      </w:r>
      <w:r w:rsidRPr="00444D6B">
        <w:rPr>
          <w:rFonts w:asciiTheme="minorEastAsia" w:hAnsiTheme="minorEastAsia" w:cs="仿宋_GB2312" w:hint="eastAsia"/>
          <w:color w:val="404040"/>
          <w:sz w:val="28"/>
          <w:szCs w:val="28"/>
        </w:rPr>
        <w:t>〕</w:t>
      </w:r>
      <w:r w:rsidRPr="00444D6B">
        <w:rPr>
          <w:rFonts w:asciiTheme="minorEastAsia" w:hAnsiTheme="minorEastAsia" w:cs="仿宋_GB2312"/>
          <w:color w:val="404040"/>
          <w:sz w:val="28"/>
          <w:szCs w:val="28"/>
        </w:rPr>
        <w:t>37</w:t>
      </w:r>
      <w:r w:rsidRPr="00444D6B">
        <w:rPr>
          <w:rFonts w:asciiTheme="minorEastAsia" w:hAnsiTheme="minorEastAsia" w:cs="仿宋_GB2312" w:hint="eastAsia"/>
          <w:color w:val="404040"/>
          <w:sz w:val="28"/>
          <w:szCs w:val="28"/>
        </w:rPr>
        <w:t>号）规定认定处置。</w:t>
      </w:r>
    </w:p>
    <w:p w14:paraId="09B82238"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（三）征地范围内违法建筑和超过批准期限的临时建筑，不予补偿安置；拆除未超过批准期限的临时建筑，可以给予适当补偿，不予安置。</w:t>
      </w:r>
    </w:p>
    <w:p w14:paraId="780574F7"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（四）征地房屋宅基地范围内的附属用房和房屋前后左右庭院上搭建、改建的其他用房等，给予补偿，不计算安置建筑面积。</w:t>
      </w:r>
    </w:p>
    <w:p w14:paraId="04651188"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1、宅基地用地包括主屋、庭院和附属用房占用的土地。</w:t>
      </w:r>
    </w:p>
    <w:p w14:paraId="345E542A"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位于主屋前后、左右、周边用地内所建的附属用房均属一处宅基地。</w:t>
      </w:r>
    </w:p>
    <w:p w14:paraId="21CFAD38"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2、征地房屋所有权人家庭成员以自然产权取得同一处宅基地内</w:t>
      </w:r>
      <w:r w:rsidRPr="00444D6B">
        <w:rPr>
          <w:rFonts w:asciiTheme="minorEastAsia" w:hAnsiTheme="minorEastAsia" w:cs="仿宋_GB2312" w:hint="eastAsia"/>
          <w:color w:val="404040"/>
          <w:kern w:val="0"/>
          <w:sz w:val="28"/>
          <w:szCs w:val="28"/>
        </w:rPr>
        <w:lastRenderedPageBreak/>
        <w:t>两本及两本以上《不动产权证》或《土地使用权证》、《房屋所有权证》的，作为一处宅基地处理。</w:t>
      </w:r>
    </w:p>
    <w:p w14:paraId="37350EA4"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3、在一处宅基地内，根据已取得《不动产权证》、《土地使用权证》、《房屋所有权证》及宅基地批文，结合农村建房习俗和具体房屋建筑占地长度、宽度、结构等因素，确定主屋自然间间数。</w:t>
      </w:r>
    </w:p>
    <w:p w14:paraId="097F867E"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4、属于以下情形的房屋为附属用房：</w:t>
      </w:r>
    </w:p>
    <w:p w14:paraId="7C574C3D"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（1）除主屋外的厨房、柴房、卫生间、禽畜圈舍、农具房等附属房屋。</w:t>
      </w:r>
    </w:p>
    <w:p w14:paraId="3C14B067"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（2）将本条第（1）款中房屋（或用地）自行改变使用功能，以自然产权登记为住宅的。</w:t>
      </w:r>
    </w:p>
    <w:p w14:paraId="00C03D28"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（3）征地房屋属于原村集体组织划分的“三基”（柴垛基、牲畜基、茅厕基）用地上的房屋，以自然产权登记为住宅的，属于附属用房。</w:t>
      </w:r>
    </w:p>
    <w:p w14:paraId="69F6E3EC"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（4）其它属于附属用房的情形。</w:t>
      </w:r>
    </w:p>
    <w:p w14:paraId="3F92BE03"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5、经审查确定为附属用房的，包括已办理《不动产权证》、《土地使用证》、《房屋所有权证》或经认定视为合法建筑的，除法律另有规定外，均不计入自然间间数。</w:t>
      </w:r>
    </w:p>
    <w:p w14:paraId="7B903FE5"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sz w:val="28"/>
          <w:szCs w:val="28"/>
        </w:rPr>
        <w:t>（五）</w:t>
      </w:r>
      <w:r w:rsidRPr="00444D6B">
        <w:rPr>
          <w:rFonts w:asciiTheme="minorEastAsia" w:hAnsiTheme="minorEastAsia" w:cs="仿宋_GB2312" w:hint="eastAsia"/>
          <w:color w:val="404040"/>
          <w:kern w:val="0"/>
          <w:sz w:val="28"/>
          <w:szCs w:val="28"/>
        </w:rPr>
        <w:t>位于孙鳌公路（石碣门段）的临街底层房屋每一自然间（或公寓房）底层进深长度6米以上的可按6米进深（不足6米按实际计算）和实际房屋宽度认定商业部分建筑面积，商业安置建筑面积按认定商业部分建筑面积1:1计算。</w:t>
      </w:r>
    </w:p>
    <w:p w14:paraId="67F026FB"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lastRenderedPageBreak/>
        <w:t>临街底层房屋是指正面门面朝向孙鳌公路（石碣门段）且中间无间隔并直接连接道路的底层房屋，但不包括门台内底层房屋</w:t>
      </w:r>
      <w:r w:rsidRPr="00444D6B">
        <w:rPr>
          <w:rFonts w:asciiTheme="minorEastAsia" w:hAnsiTheme="minorEastAsia" w:hint="eastAsia"/>
          <w:sz w:val="28"/>
          <w:szCs w:val="28"/>
        </w:rPr>
        <w:t>及中堂、走道、</w:t>
      </w:r>
      <w:r w:rsidRPr="00444D6B">
        <w:rPr>
          <w:rFonts w:asciiTheme="minorEastAsia" w:hAnsiTheme="minorEastAsia" w:cs="仿宋_GB2312" w:hint="eastAsia"/>
          <w:color w:val="404040"/>
          <w:kern w:val="0"/>
          <w:sz w:val="28"/>
          <w:szCs w:val="28"/>
        </w:rPr>
        <w:t>厨房、卫生间、地下室等其他类型房屋。</w:t>
      </w:r>
    </w:p>
    <w:p w14:paraId="03144F84" w14:textId="11008DEB" w:rsidR="00686575" w:rsidRPr="00444D6B" w:rsidRDefault="0092431F"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hint="eastAsia"/>
          <w:color w:val="404040"/>
          <w:kern w:val="0"/>
          <w:sz w:val="28"/>
          <w:szCs w:val="28"/>
        </w:rPr>
        <w:t>征地房屋底层为商业的，住宅安置建筑面积为该征地房屋按上述条款计算安置建筑面积减去商业安置建筑面积。</w:t>
      </w:r>
    </w:p>
    <w:p w14:paraId="3D3B36BF" w14:textId="77777777" w:rsidR="00686575" w:rsidRPr="00444D6B" w:rsidRDefault="006E7A8A" w:rsidP="00444D6B">
      <w:pPr>
        <w:pStyle w:val="a5"/>
        <w:widowControl/>
        <w:spacing w:beforeLines="50" w:before="156" w:beforeAutospacing="0" w:afterLines="50" w:after="156" w:afterAutospacing="0" w:line="600" w:lineRule="exact"/>
        <w:ind w:firstLineChars="200" w:firstLine="560"/>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（六）在《瑞安市南滨江石碣门团块改造工程征收集体所有土地涉及房屋补偿方案公告》后，进行装修、扩建、改建和改变房屋用途等的，不当增加部分不予补偿，不作为安置依据。</w:t>
      </w:r>
    </w:p>
    <w:p w14:paraId="23B01548"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黑体" w:hint="eastAsia"/>
          <w:color w:val="404040"/>
          <w:sz w:val="28"/>
          <w:szCs w:val="28"/>
        </w:rPr>
        <w:t>五、征地房屋补偿规定</w:t>
      </w:r>
    </w:p>
    <w:p w14:paraId="352D381C" w14:textId="77777777" w:rsidR="00686575" w:rsidRPr="00444D6B" w:rsidRDefault="006E7A8A" w:rsidP="00444D6B">
      <w:pPr>
        <w:pStyle w:val="a5"/>
        <w:widowControl/>
        <w:spacing w:beforeLines="50" w:before="156" w:beforeAutospacing="0" w:afterLines="50" w:after="156" w:afterAutospacing="0" w:line="600" w:lineRule="exact"/>
        <w:ind w:firstLineChars="200" w:firstLine="562"/>
        <w:jc w:val="both"/>
        <w:rPr>
          <w:rFonts w:asciiTheme="minorEastAsia" w:hAnsiTheme="minorEastAsia"/>
          <w:sz w:val="28"/>
          <w:szCs w:val="28"/>
        </w:rPr>
      </w:pPr>
      <w:r w:rsidRPr="00444D6B">
        <w:rPr>
          <w:rFonts w:asciiTheme="minorEastAsia" w:hAnsiTheme="minorEastAsia" w:hint="eastAsia"/>
          <w:b/>
          <w:bCs/>
          <w:sz w:val="28"/>
          <w:szCs w:val="28"/>
        </w:rPr>
        <w:t>（一）征地房屋补偿费</w:t>
      </w:r>
    </w:p>
    <w:p w14:paraId="22CE528E"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补偿费包括房屋重置成新价、搬迁费（回迁费）、临时过渡安置费及其他补偿费等，具体标准如下：</w:t>
      </w:r>
    </w:p>
    <w:p w14:paraId="6041D6E5"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1、房屋重置成新价：由房地产评估机构根据被征地房屋的等级、结构、建成年份、装修情况、合法产权（或认定）建筑面积等情况评估确定。</w:t>
      </w:r>
    </w:p>
    <w:p w14:paraId="58DDE9B4"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经认定给予适当补偿的征地房屋，其重置成新价按评估价的70%计算，给予适当补偿。</w:t>
      </w:r>
    </w:p>
    <w:p w14:paraId="545B886A"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2、搬迁费（回迁费）：按征地房屋合法产权(或认定)建筑面积</w:t>
      </w:r>
      <w:r w:rsidRPr="00444D6B">
        <w:rPr>
          <w:rFonts w:asciiTheme="minorEastAsia" w:hAnsiTheme="minorEastAsia"/>
          <w:sz w:val="28"/>
          <w:szCs w:val="28"/>
        </w:rPr>
        <w:t xml:space="preserve"> </w:t>
      </w:r>
      <w:r w:rsidRPr="00444D6B">
        <w:rPr>
          <w:rFonts w:asciiTheme="minorEastAsia" w:hAnsiTheme="minorEastAsia" w:hint="eastAsia"/>
          <w:sz w:val="28"/>
          <w:szCs w:val="28"/>
        </w:rPr>
        <w:t>15元/㎡标准计算，征地房屋建筑面积不足100㎡的按100㎡计算。</w:t>
      </w:r>
    </w:p>
    <w:p w14:paraId="568D252C"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lastRenderedPageBreak/>
        <w:t>经认定给予适当补偿的征地房屋，其搬迁费按上述标准的70%计算。</w:t>
      </w:r>
    </w:p>
    <w:p w14:paraId="7FD7DA94"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选择产权调换安置的，按上述标准支付回迁费。</w:t>
      </w:r>
    </w:p>
    <w:p w14:paraId="16E9588E"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3、临时过渡安置费：房屋所有权人自行解决过渡用房的，按征地房屋合法产权(或认定)建筑面积，住宅建筑面积每月15元/㎡，商业（或认定为商业）用房临时过渡安置费按实评估。</w:t>
      </w:r>
    </w:p>
    <w:p w14:paraId="10F6EB92"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经认定给予适当补偿的征地房屋，其临时过渡安置费按上述标准的70%计算。</w:t>
      </w:r>
    </w:p>
    <w:p w14:paraId="6BB80B6A"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实施单位应当自搬迁腾空验收合格之月起按补偿协议约定的临时过渡安置费支付方式支付给房屋所有权人。</w:t>
      </w:r>
    </w:p>
    <w:p w14:paraId="0E9AD760"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（1）房屋所有权人选择货币补偿的，临时过渡安置费按一次性6个月计算支付。</w:t>
      </w:r>
    </w:p>
    <w:p w14:paraId="654526B5"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（2）房屋所有权人选择产权调换安置的，按搬迁腾空验收合格之月起至安置房交付之月后6个月止计算支付，具体支付方式在补偿协议中约定。</w:t>
      </w:r>
    </w:p>
    <w:p w14:paraId="28EAEDBC"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3）房屋所有权人选择产权调换安置的，过渡期限为房屋搬迁腾空验收合格之月起36个月，超过过渡期限实施单位未提供安置房源的，应当自逾期之月起按最新标准的两倍支付临时过渡安置费，未超过36个月的，按实际临时过渡时间计算。</w:t>
      </w:r>
    </w:p>
    <w:p w14:paraId="57AF0210"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（4）安置房建成交付时，经实施单位通知，房屋所有权人仍未在规定时间内办理安置房交付结算手续的，停止计发临时过渡安置费。</w:t>
      </w:r>
    </w:p>
    <w:p w14:paraId="6FEF0590"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lastRenderedPageBreak/>
        <w:t>4、其他补偿费标准：</w:t>
      </w:r>
    </w:p>
    <w:p w14:paraId="3FB558C7"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Style w:val="a6"/>
          <w:rFonts w:asciiTheme="minorEastAsia" w:hAnsiTheme="minorEastAsia"/>
          <w:sz w:val="28"/>
          <w:szCs w:val="28"/>
        </w:rPr>
      </w:pPr>
      <w:r w:rsidRPr="00444D6B">
        <w:rPr>
          <w:rFonts w:asciiTheme="minorEastAsia" w:hAnsiTheme="minorEastAsia" w:hint="eastAsia"/>
          <w:sz w:val="28"/>
          <w:szCs w:val="28"/>
        </w:rPr>
        <w:t>征地房屋其他附属设施的补偿费按下列标准支付：</w:t>
      </w:r>
    </w:p>
    <w:tbl>
      <w:tblPr>
        <w:tblW w:w="9365" w:type="dxa"/>
        <w:tblInd w:w="-106" w:type="dxa"/>
        <w:tblLayout w:type="fixed"/>
        <w:tblLook w:val="04A0" w:firstRow="1" w:lastRow="0" w:firstColumn="1" w:lastColumn="0" w:noHBand="0" w:noVBand="1"/>
      </w:tblPr>
      <w:tblGrid>
        <w:gridCol w:w="2105"/>
        <w:gridCol w:w="1725"/>
        <w:gridCol w:w="1785"/>
        <w:gridCol w:w="3750"/>
      </w:tblGrid>
      <w:tr w:rsidR="006B22CA" w:rsidRPr="00302129" w14:paraId="0548497C" w14:textId="77777777">
        <w:trPr>
          <w:trHeight w:val="635"/>
        </w:trPr>
        <w:tc>
          <w:tcPr>
            <w:tcW w:w="2105" w:type="dxa"/>
            <w:tcBorders>
              <w:top w:val="single" w:sz="4" w:space="0" w:color="auto"/>
              <w:left w:val="single" w:sz="4" w:space="0" w:color="auto"/>
              <w:bottom w:val="single" w:sz="4" w:space="0" w:color="auto"/>
              <w:right w:val="single" w:sz="4" w:space="0" w:color="auto"/>
            </w:tcBorders>
            <w:vAlign w:val="center"/>
          </w:tcPr>
          <w:p w14:paraId="2B1BA0B0"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名</w:t>
            </w:r>
            <w:r w:rsidRPr="00444D6B">
              <w:rPr>
                <w:rFonts w:asciiTheme="minorEastAsia" w:hAnsiTheme="minorEastAsia" w:cs="宋体"/>
                <w:sz w:val="28"/>
                <w:szCs w:val="28"/>
              </w:rPr>
              <w:t xml:space="preserve">  </w:t>
            </w:r>
            <w:r w:rsidRPr="00444D6B">
              <w:rPr>
                <w:rFonts w:asciiTheme="minorEastAsia" w:hAnsiTheme="minorEastAsia" w:cs="宋体" w:hint="eastAsia"/>
                <w:sz w:val="28"/>
                <w:szCs w:val="28"/>
              </w:rPr>
              <w:t>称</w:t>
            </w:r>
          </w:p>
        </w:tc>
        <w:tc>
          <w:tcPr>
            <w:tcW w:w="1725" w:type="dxa"/>
            <w:tcBorders>
              <w:top w:val="single" w:sz="4" w:space="0" w:color="auto"/>
              <w:left w:val="nil"/>
              <w:bottom w:val="single" w:sz="4" w:space="0" w:color="auto"/>
              <w:right w:val="single" w:sz="4" w:space="0" w:color="auto"/>
            </w:tcBorders>
            <w:vAlign w:val="center"/>
          </w:tcPr>
          <w:p w14:paraId="5DF043F9"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计量（户）</w:t>
            </w:r>
          </w:p>
        </w:tc>
        <w:tc>
          <w:tcPr>
            <w:tcW w:w="1785" w:type="dxa"/>
            <w:tcBorders>
              <w:top w:val="single" w:sz="4" w:space="0" w:color="auto"/>
              <w:left w:val="nil"/>
              <w:bottom w:val="single" w:sz="4" w:space="0" w:color="auto"/>
              <w:right w:val="single" w:sz="4" w:space="0" w:color="auto"/>
            </w:tcBorders>
            <w:vAlign w:val="center"/>
          </w:tcPr>
          <w:p w14:paraId="656C7E99"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价格（元）</w:t>
            </w:r>
          </w:p>
        </w:tc>
        <w:tc>
          <w:tcPr>
            <w:tcW w:w="3750" w:type="dxa"/>
            <w:tcBorders>
              <w:top w:val="single" w:sz="4" w:space="0" w:color="auto"/>
              <w:left w:val="nil"/>
              <w:bottom w:val="single" w:sz="4" w:space="0" w:color="auto"/>
              <w:right w:val="single" w:sz="4" w:space="0" w:color="auto"/>
            </w:tcBorders>
            <w:vAlign w:val="center"/>
          </w:tcPr>
          <w:p w14:paraId="0E4196F1"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备注说明</w:t>
            </w:r>
          </w:p>
        </w:tc>
      </w:tr>
      <w:tr w:rsidR="006B22CA" w:rsidRPr="00302129" w14:paraId="6B88EB7B" w14:textId="77777777" w:rsidTr="00444D6B">
        <w:trPr>
          <w:cantSplit/>
          <w:trHeight w:val="664"/>
        </w:trPr>
        <w:tc>
          <w:tcPr>
            <w:tcW w:w="2105" w:type="dxa"/>
            <w:tcBorders>
              <w:top w:val="single" w:sz="4" w:space="0" w:color="auto"/>
              <w:left w:val="single" w:sz="4" w:space="0" w:color="auto"/>
              <w:bottom w:val="single" w:sz="4" w:space="0" w:color="auto"/>
              <w:right w:val="single" w:sz="4" w:space="0" w:color="auto"/>
            </w:tcBorders>
            <w:vAlign w:val="center"/>
          </w:tcPr>
          <w:p w14:paraId="4137DAC9"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电话</w:t>
            </w:r>
          </w:p>
        </w:tc>
        <w:tc>
          <w:tcPr>
            <w:tcW w:w="1725" w:type="dxa"/>
            <w:tcBorders>
              <w:top w:val="single" w:sz="4" w:space="0" w:color="auto"/>
              <w:left w:val="nil"/>
              <w:bottom w:val="single" w:sz="4" w:space="0" w:color="auto"/>
              <w:right w:val="single" w:sz="4" w:space="0" w:color="auto"/>
            </w:tcBorders>
            <w:vAlign w:val="center"/>
          </w:tcPr>
          <w:p w14:paraId="16D12877"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1部</w:t>
            </w:r>
          </w:p>
        </w:tc>
        <w:tc>
          <w:tcPr>
            <w:tcW w:w="1785" w:type="dxa"/>
            <w:tcBorders>
              <w:top w:val="single" w:sz="4" w:space="0" w:color="auto"/>
              <w:left w:val="nil"/>
              <w:bottom w:val="single" w:sz="4" w:space="0" w:color="auto"/>
              <w:right w:val="single" w:sz="4" w:space="0" w:color="auto"/>
            </w:tcBorders>
            <w:vAlign w:val="center"/>
          </w:tcPr>
          <w:p w14:paraId="710A0FBB"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158</w:t>
            </w:r>
          </w:p>
        </w:tc>
        <w:tc>
          <w:tcPr>
            <w:tcW w:w="3750" w:type="dxa"/>
            <w:vMerge w:val="restart"/>
            <w:tcBorders>
              <w:top w:val="nil"/>
              <w:left w:val="nil"/>
              <w:bottom w:val="single" w:sz="4" w:space="0" w:color="auto"/>
              <w:right w:val="single" w:sz="4" w:space="0" w:color="auto"/>
            </w:tcBorders>
            <w:vAlign w:val="center"/>
          </w:tcPr>
          <w:p w14:paraId="2A0A631C"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宋体"/>
                <w:sz w:val="28"/>
                <w:szCs w:val="28"/>
              </w:rPr>
            </w:pPr>
            <w:r w:rsidRPr="00444D6B">
              <w:rPr>
                <w:rFonts w:asciiTheme="minorEastAsia" w:hAnsiTheme="minorEastAsia" w:cs="宋体" w:hint="eastAsia"/>
                <w:sz w:val="28"/>
                <w:szCs w:val="28"/>
              </w:rPr>
              <w:t>一次性支付补助费，由房屋所有权人自行负责迁移。</w:t>
            </w:r>
          </w:p>
        </w:tc>
      </w:tr>
      <w:tr w:rsidR="006B22CA" w:rsidRPr="00302129" w14:paraId="794F2BEB" w14:textId="77777777">
        <w:trPr>
          <w:cantSplit/>
          <w:trHeight w:val="465"/>
        </w:trPr>
        <w:tc>
          <w:tcPr>
            <w:tcW w:w="2105" w:type="dxa"/>
            <w:tcBorders>
              <w:top w:val="single" w:sz="4" w:space="0" w:color="auto"/>
              <w:left w:val="single" w:sz="4" w:space="0" w:color="auto"/>
              <w:bottom w:val="single" w:sz="4" w:space="0" w:color="auto"/>
              <w:right w:val="single" w:sz="4" w:space="0" w:color="auto"/>
            </w:tcBorders>
            <w:vAlign w:val="center"/>
          </w:tcPr>
          <w:p w14:paraId="7EBEC45E"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有线电视</w:t>
            </w:r>
          </w:p>
        </w:tc>
        <w:tc>
          <w:tcPr>
            <w:tcW w:w="1725" w:type="dxa"/>
            <w:tcBorders>
              <w:top w:val="single" w:sz="4" w:space="0" w:color="auto"/>
              <w:left w:val="nil"/>
              <w:bottom w:val="single" w:sz="4" w:space="0" w:color="auto"/>
              <w:right w:val="single" w:sz="4" w:space="0" w:color="auto"/>
            </w:tcBorders>
            <w:vAlign w:val="center"/>
          </w:tcPr>
          <w:p w14:paraId="77803F8F"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1门</w:t>
            </w:r>
          </w:p>
        </w:tc>
        <w:tc>
          <w:tcPr>
            <w:tcW w:w="1785" w:type="dxa"/>
            <w:tcBorders>
              <w:top w:val="single" w:sz="4" w:space="0" w:color="auto"/>
              <w:left w:val="nil"/>
              <w:bottom w:val="single" w:sz="4" w:space="0" w:color="auto"/>
              <w:right w:val="single" w:sz="4" w:space="0" w:color="auto"/>
            </w:tcBorders>
            <w:vAlign w:val="center"/>
          </w:tcPr>
          <w:p w14:paraId="0E134312"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80</w:t>
            </w:r>
          </w:p>
        </w:tc>
        <w:tc>
          <w:tcPr>
            <w:tcW w:w="3750" w:type="dxa"/>
            <w:vMerge/>
            <w:tcBorders>
              <w:top w:val="nil"/>
              <w:left w:val="nil"/>
              <w:bottom w:val="single" w:sz="4" w:space="0" w:color="auto"/>
              <w:right w:val="single" w:sz="4" w:space="0" w:color="auto"/>
            </w:tcBorders>
            <w:vAlign w:val="center"/>
          </w:tcPr>
          <w:p w14:paraId="1400AF3B" w14:textId="77777777" w:rsidR="00686575" w:rsidRPr="00444D6B" w:rsidRDefault="00686575" w:rsidP="00444D6B">
            <w:pPr>
              <w:spacing w:beforeLines="50" w:before="156" w:afterLines="50" w:after="156" w:line="600" w:lineRule="exact"/>
              <w:ind w:firstLineChars="200" w:firstLine="560"/>
              <w:rPr>
                <w:rFonts w:asciiTheme="minorEastAsia" w:hAnsiTheme="minorEastAsia" w:cs="宋体"/>
                <w:sz w:val="28"/>
                <w:szCs w:val="28"/>
              </w:rPr>
            </w:pPr>
          </w:p>
        </w:tc>
      </w:tr>
      <w:tr w:rsidR="006B22CA" w:rsidRPr="00302129" w14:paraId="17355B50" w14:textId="77777777">
        <w:trPr>
          <w:cantSplit/>
          <w:trHeight w:val="465"/>
        </w:trPr>
        <w:tc>
          <w:tcPr>
            <w:tcW w:w="2105" w:type="dxa"/>
            <w:tcBorders>
              <w:top w:val="single" w:sz="4" w:space="0" w:color="auto"/>
              <w:left w:val="single" w:sz="4" w:space="0" w:color="auto"/>
              <w:bottom w:val="single" w:sz="4" w:space="0" w:color="auto"/>
              <w:right w:val="single" w:sz="4" w:space="0" w:color="auto"/>
            </w:tcBorders>
            <w:vAlign w:val="center"/>
          </w:tcPr>
          <w:p w14:paraId="6D54CD21"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宽带</w:t>
            </w:r>
          </w:p>
        </w:tc>
        <w:tc>
          <w:tcPr>
            <w:tcW w:w="1725" w:type="dxa"/>
            <w:tcBorders>
              <w:top w:val="single" w:sz="4" w:space="0" w:color="auto"/>
              <w:left w:val="nil"/>
              <w:bottom w:val="single" w:sz="4" w:space="0" w:color="auto"/>
              <w:right w:val="single" w:sz="4" w:space="0" w:color="auto"/>
            </w:tcBorders>
            <w:vAlign w:val="center"/>
          </w:tcPr>
          <w:p w14:paraId="694E6771"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1户</w:t>
            </w:r>
          </w:p>
        </w:tc>
        <w:tc>
          <w:tcPr>
            <w:tcW w:w="1785" w:type="dxa"/>
            <w:tcBorders>
              <w:top w:val="single" w:sz="4" w:space="0" w:color="auto"/>
              <w:left w:val="nil"/>
              <w:bottom w:val="single" w:sz="4" w:space="0" w:color="auto"/>
              <w:right w:val="single" w:sz="4" w:space="0" w:color="auto"/>
            </w:tcBorders>
            <w:vAlign w:val="center"/>
          </w:tcPr>
          <w:p w14:paraId="7FE34F03"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100</w:t>
            </w:r>
          </w:p>
        </w:tc>
        <w:tc>
          <w:tcPr>
            <w:tcW w:w="3750" w:type="dxa"/>
            <w:vMerge/>
            <w:tcBorders>
              <w:top w:val="nil"/>
              <w:left w:val="nil"/>
              <w:bottom w:val="single" w:sz="4" w:space="0" w:color="auto"/>
              <w:right w:val="single" w:sz="4" w:space="0" w:color="auto"/>
            </w:tcBorders>
            <w:vAlign w:val="center"/>
          </w:tcPr>
          <w:p w14:paraId="4E5B14AF" w14:textId="77777777" w:rsidR="00686575" w:rsidRPr="00444D6B" w:rsidRDefault="00686575" w:rsidP="00444D6B">
            <w:pPr>
              <w:spacing w:beforeLines="50" w:before="156" w:afterLines="50" w:after="156" w:line="600" w:lineRule="exact"/>
              <w:ind w:firstLineChars="200" w:firstLine="560"/>
              <w:rPr>
                <w:rFonts w:asciiTheme="minorEastAsia" w:hAnsiTheme="minorEastAsia" w:cs="宋体"/>
                <w:sz w:val="28"/>
                <w:szCs w:val="28"/>
              </w:rPr>
            </w:pPr>
          </w:p>
        </w:tc>
      </w:tr>
      <w:tr w:rsidR="006B22CA" w:rsidRPr="00302129" w14:paraId="7D07BB29" w14:textId="77777777">
        <w:trPr>
          <w:cantSplit/>
          <w:trHeight w:val="465"/>
        </w:trPr>
        <w:tc>
          <w:tcPr>
            <w:tcW w:w="2105" w:type="dxa"/>
            <w:tcBorders>
              <w:top w:val="single" w:sz="4" w:space="0" w:color="auto"/>
              <w:left w:val="single" w:sz="4" w:space="0" w:color="auto"/>
              <w:bottom w:val="single" w:sz="4" w:space="0" w:color="auto"/>
              <w:right w:val="single" w:sz="4" w:space="0" w:color="auto"/>
            </w:tcBorders>
            <w:vAlign w:val="center"/>
          </w:tcPr>
          <w:p w14:paraId="74FCC874"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电表（单线）</w:t>
            </w:r>
          </w:p>
        </w:tc>
        <w:tc>
          <w:tcPr>
            <w:tcW w:w="1725" w:type="dxa"/>
            <w:tcBorders>
              <w:top w:val="single" w:sz="4" w:space="0" w:color="auto"/>
              <w:left w:val="nil"/>
              <w:bottom w:val="single" w:sz="4" w:space="0" w:color="auto"/>
              <w:right w:val="single" w:sz="4" w:space="0" w:color="auto"/>
            </w:tcBorders>
            <w:vAlign w:val="center"/>
          </w:tcPr>
          <w:p w14:paraId="20A2F36B"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1只</w:t>
            </w:r>
          </w:p>
        </w:tc>
        <w:tc>
          <w:tcPr>
            <w:tcW w:w="1785" w:type="dxa"/>
            <w:tcBorders>
              <w:top w:val="single" w:sz="4" w:space="0" w:color="auto"/>
              <w:left w:val="nil"/>
              <w:bottom w:val="single" w:sz="4" w:space="0" w:color="auto"/>
              <w:right w:val="single" w:sz="4" w:space="0" w:color="auto"/>
            </w:tcBorders>
            <w:vAlign w:val="center"/>
          </w:tcPr>
          <w:p w14:paraId="26610B4B"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100</w:t>
            </w:r>
          </w:p>
        </w:tc>
        <w:tc>
          <w:tcPr>
            <w:tcW w:w="3750" w:type="dxa"/>
            <w:vMerge/>
            <w:tcBorders>
              <w:top w:val="nil"/>
              <w:left w:val="nil"/>
              <w:bottom w:val="single" w:sz="4" w:space="0" w:color="auto"/>
              <w:right w:val="single" w:sz="4" w:space="0" w:color="auto"/>
            </w:tcBorders>
            <w:vAlign w:val="center"/>
          </w:tcPr>
          <w:p w14:paraId="73FAF14B" w14:textId="77777777" w:rsidR="00686575" w:rsidRPr="00444D6B" w:rsidRDefault="00686575" w:rsidP="00444D6B">
            <w:pPr>
              <w:spacing w:beforeLines="50" w:before="156" w:afterLines="50" w:after="156" w:line="600" w:lineRule="exact"/>
              <w:ind w:firstLineChars="200" w:firstLine="560"/>
              <w:rPr>
                <w:rFonts w:asciiTheme="minorEastAsia" w:hAnsiTheme="minorEastAsia" w:cs="宋体"/>
                <w:sz w:val="28"/>
                <w:szCs w:val="28"/>
              </w:rPr>
            </w:pPr>
          </w:p>
        </w:tc>
      </w:tr>
      <w:tr w:rsidR="006B22CA" w:rsidRPr="00302129" w14:paraId="7BD8AC33" w14:textId="77777777">
        <w:trPr>
          <w:cantSplit/>
          <w:trHeight w:val="465"/>
        </w:trPr>
        <w:tc>
          <w:tcPr>
            <w:tcW w:w="2105" w:type="dxa"/>
            <w:tcBorders>
              <w:top w:val="single" w:sz="4" w:space="0" w:color="auto"/>
              <w:left w:val="single" w:sz="4" w:space="0" w:color="auto"/>
              <w:bottom w:val="single" w:sz="4" w:space="0" w:color="auto"/>
              <w:right w:val="single" w:sz="4" w:space="0" w:color="auto"/>
            </w:tcBorders>
            <w:vAlign w:val="center"/>
          </w:tcPr>
          <w:p w14:paraId="2CA409E8"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电表（三线）</w:t>
            </w:r>
          </w:p>
        </w:tc>
        <w:tc>
          <w:tcPr>
            <w:tcW w:w="1725" w:type="dxa"/>
            <w:tcBorders>
              <w:top w:val="single" w:sz="4" w:space="0" w:color="auto"/>
              <w:left w:val="nil"/>
              <w:bottom w:val="single" w:sz="4" w:space="0" w:color="auto"/>
              <w:right w:val="single" w:sz="4" w:space="0" w:color="auto"/>
            </w:tcBorders>
            <w:vAlign w:val="center"/>
          </w:tcPr>
          <w:p w14:paraId="2C1CE66B"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1只</w:t>
            </w:r>
          </w:p>
        </w:tc>
        <w:tc>
          <w:tcPr>
            <w:tcW w:w="1785" w:type="dxa"/>
            <w:tcBorders>
              <w:top w:val="single" w:sz="4" w:space="0" w:color="auto"/>
              <w:left w:val="nil"/>
              <w:bottom w:val="single" w:sz="4" w:space="0" w:color="auto"/>
              <w:right w:val="single" w:sz="4" w:space="0" w:color="auto"/>
            </w:tcBorders>
            <w:vAlign w:val="center"/>
          </w:tcPr>
          <w:p w14:paraId="6BC0683E"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1200</w:t>
            </w:r>
          </w:p>
        </w:tc>
        <w:tc>
          <w:tcPr>
            <w:tcW w:w="3750" w:type="dxa"/>
            <w:vMerge/>
            <w:tcBorders>
              <w:top w:val="nil"/>
              <w:left w:val="nil"/>
              <w:bottom w:val="single" w:sz="4" w:space="0" w:color="auto"/>
              <w:right w:val="single" w:sz="4" w:space="0" w:color="auto"/>
            </w:tcBorders>
            <w:vAlign w:val="center"/>
          </w:tcPr>
          <w:p w14:paraId="4F6BF667" w14:textId="77777777" w:rsidR="00686575" w:rsidRPr="00444D6B" w:rsidRDefault="00686575" w:rsidP="00444D6B">
            <w:pPr>
              <w:spacing w:beforeLines="50" w:before="156" w:afterLines="50" w:after="156" w:line="600" w:lineRule="exact"/>
              <w:ind w:firstLineChars="200" w:firstLine="560"/>
              <w:rPr>
                <w:rFonts w:asciiTheme="minorEastAsia" w:hAnsiTheme="minorEastAsia" w:cs="宋体"/>
                <w:sz w:val="28"/>
                <w:szCs w:val="28"/>
              </w:rPr>
            </w:pPr>
          </w:p>
        </w:tc>
      </w:tr>
      <w:tr w:rsidR="006B22CA" w:rsidRPr="00302129" w14:paraId="3AFC84EF" w14:textId="77777777">
        <w:trPr>
          <w:cantSplit/>
          <w:trHeight w:val="465"/>
        </w:trPr>
        <w:tc>
          <w:tcPr>
            <w:tcW w:w="2105" w:type="dxa"/>
            <w:tcBorders>
              <w:top w:val="single" w:sz="4" w:space="0" w:color="auto"/>
              <w:left w:val="single" w:sz="4" w:space="0" w:color="auto"/>
              <w:bottom w:val="single" w:sz="4" w:space="0" w:color="auto"/>
              <w:right w:val="single" w:sz="4" w:space="0" w:color="auto"/>
            </w:tcBorders>
            <w:vAlign w:val="center"/>
          </w:tcPr>
          <w:p w14:paraId="4253181D"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水表</w:t>
            </w:r>
          </w:p>
        </w:tc>
        <w:tc>
          <w:tcPr>
            <w:tcW w:w="1725" w:type="dxa"/>
            <w:tcBorders>
              <w:top w:val="single" w:sz="4" w:space="0" w:color="auto"/>
              <w:left w:val="nil"/>
              <w:bottom w:val="single" w:sz="4" w:space="0" w:color="auto"/>
              <w:right w:val="single" w:sz="4" w:space="0" w:color="auto"/>
            </w:tcBorders>
            <w:vAlign w:val="center"/>
          </w:tcPr>
          <w:p w14:paraId="08D0E67B"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1只</w:t>
            </w:r>
          </w:p>
        </w:tc>
        <w:tc>
          <w:tcPr>
            <w:tcW w:w="1785" w:type="dxa"/>
            <w:tcBorders>
              <w:top w:val="single" w:sz="4" w:space="0" w:color="auto"/>
              <w:left w:val="nil"/>
              <w:bottom w:val="single" w:sz="4" w:space="0" w:color="auto"/>
              <w:right w:val="single" w:sz="4" w:space="0" w:color="auto"/>
            </w:tcBorders>
            <w:vAlign w:val="center"/>
          </w:tcPr>
          <w:p w14:paraId="5126BD45"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40</w:t>
            </w:r>
          </w:p>
        </w:tc>
        <w:tc>
          <w:tcPr>
            <w:tcW w:w="3750" w:type="dxa"/>
            <w:vMerge/>
            <w:tcBorders>
              <w:top w:val="nil"/>
              <w:left w:val="nil"/>
              <w:bottom w:val="single" w:sz="4" w:space="0" w:color="auto"/>
              <w:right w:val="single" w:sz="4" w:space="0" w:color="auto"/>
            </w:tcBorders>
            <w:vAlign w:val="center"/>
          </w:tcPr>
          <w:p w14:paraId="5637EFEF" w14:textId="77777777" w:rsidR="00686575" w:rsidRPr="00444D6B" w:rsidRDefault="00686575" w:rsidP="00444D6B">
            <w:pPr>
              <w:spacing w:beforeLines="50" w:before="156" w:afterLines="50" w:after="156" w:line="600" w:lineRule="exact"/>
              <w:ind w:firstLineChars="200" w:firstLine="560"/>
              <w:rPr>
                <w:rFonts w:asciiTheme="minorEastAsia" w:hAnsiTheme="minorEastAsia" w:cs="宋体"/>
                <w:sz w:val="28"/>
                <w:szCs w:val="28"/>
              </w:rPr>
            </w:pPr>
          </w:p>
        </w:tc>
      </w:tr>
      <w:tr w:rsidR="006B22CA" w:rsidRPr="00302129" w14:paraId="67B35D2E" w14:textId="77777777">
        <w:trPr>
          <w:cantSplit/>
          <w:trHeight w:val="465"/>
        </w:trPr>
        <w:tc>
          <w:tcPr>
            <w:tcW w:w="2105" w:type="dxa"/>
            <w:tcBorders>
              <w:top w:val="single" w:sz="4" w:space="0" w:color="auto"/>
              <w:left w:val="single" w:sz="4" w:space="0" w:color="auto"/>
              <w:bottom w:val="single" w:sz="4" w:space="0" w:color="auto"/>
              <w:right w:val="single" w:sz="4" w:space="0" w:color="auto"/>
            </w:tcBorders>
            <w:vAlign w:val="center"/>
          </w:tcPr>
          <w:p w14:paraId="048487E4"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附属用房及其他用房</w:t>
            </w:r>
          </w:p>
        </w:tc>
        <w:tc>
          <w:tcPr>
            <w:tcW w:w="1725" w:type="dxa"/>
            <w:tcBorders>
              <w:top w:val="single" w:sz="4" w:space="0" w:color="auto"/>
              <w:left w:val="nil"/>
              <w:bottom w:val="single" w:sz="4" w:space="0" w:color="auto"/>
              <w:right w:val="single" w:sz="4" w:space="0" w:color="auto"/>
            </w:tcBorders>
            <w:vAlign w:val="center"/>
          </w:tcPr>
          <w:p w14:paraId="6B5DD8BE"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w:t>
            </w:r>
            <w:r w:rsidRPr="00444D6B">
              <w:rPr>
                <w:rFonts w:asciiTheme="minorEastAsia" w:hAnsiTheme="minorEastAsia" w:cs="宋体" w:hint="eastAsia"/>
                <w:sz w:val="28"/>
                <w:szCs w:val="28"/>
              </w:rPr>
              <w:t>㎡</w:t>
            </w:r>
          </w:p>
        </w:tc>
        <w:tc>
          <w:tcPr>
            <w:tcW w:w="1785" w:type="dxa"/>
            <w:tcBorders>
              <w:top w:val="single" w:sz="4" w:space="0" w:color="auto"/>
              <w:left w:val="nil"/>
              <w:bottom w:val="single" w:sz="4" w:space="0" w:color="auto"/>
              <w:right w:val="single" w:sz="4" w:space="0" w:color="auto"/>
            </w:tcBorders>
            <w:vAlign w:val="center"/>
          </w:tcPr>
          <w:p w14:paraId="0A50E398"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100-400</w:t>
            </w:r>
          </w:p>
        </w:tc>
        <w:tc>
          <w:tcPr>
            <w:tcW w:w="3750" w:type="dxa"/>
            <w:vMerge w:val="restart"/>
            <w:tcBorders>
              <w:top w:val="nil"/>
              <w:left w:val="nil"/>
              <w:bottom w:val="single" w:sz="4" w:space="0" w:color="auto"/>
              <w:right w:val="single" w:sz="4" w:space="0" w:color="auto"/>
            </w:tcBorders>
            <w:vAlign w:val="center"/>
          </w:tcPr>
          <w:p w14:paraId="5C37E75A"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宋体"/>
                <w:sz w:val="28"/>
                <w:szCs w:val="28"/>
              </w:rPr>
            </w:pPr>
            <w:r w:rsidRPr="00444D6B">
              <w:rPr>
                <w:rFonts w:asciiTheme="minorEastAsia" w:hAnsiTheme="minorEastAsia" w:cs="宋体" w:hint="eastAsia"/>
                <w:sz w:val="28"/>
                <w:szCs w:val="28"/>
              </w:rPr>
              <w:t>历史性遗留的附着物，给予一次性经济补偿。</w:t>
            </w:r>
          </w:p>
        </w:tc>
      </w:tr>
      <w:tr w:rsidR="006B22CA" w:rsidRPr="00302129" w14:paraId="31F4AD51" w14:textId="77777777">
        <w:trPr>
          <w:cantSplit/>
          <w:trHeight w:val="465"/>
        </w:trPr>
        <w:tc>
          <w:tcPr>
            <w:tcW w:w="2105" w:type="dxa"/>
            <w:tcBorders>
              <w:top w:val="single" w:sz="4" w:space="0" w:color="auto"/>
              <w:left w:val="single" w:sz="4" w:space="0" w:color="auto"/>
              <w:bottom w:val="single" w:sz="4" w:space="0" w:color="auto"/>
              <w:right w:val="single" w:sz="4" w:space="0" w:color="auto"/>
            </w:tcBorders>
            <w:vAlign w:val="center"/>
          </w:tcPr>
          <w:p w14:paraId="670AA6B8"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各类棚顶</w:t>
            </w:r>
          </w:p>
        </w:tc>
        <w:tc>
          <w:tcPr>
            <w:tcW w:w="1725" w:type="dxa"/>
            <w:tcBorders>
              <w:top w:val="single" w:sz="4" w:space="0" w:color="auto"/>
              <w:left w:val="nil"/>
              <w:bottom w:val="single" w:sz="4" w:space="0" w:color="auto"/>
              <w:right w:val="single" w:sz="4" w:space="0" w:color="auto"/>
            </w:tcBorders>
            <w:vAlign w:val="center"/>
          </w:tcPr>
          <w:p w14:paraId="1EAAC819"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w:t>
            </w:r>
            <w:r w:rsidRPr="00444D6B">
              <w:rPr>
                <w:rFonts w:asciiTheme="minorEastAsia" w:hAnsiTheme="minorEastAsia" w:cs="宋体" w:hint="eastAsia"/>
                <w:sz w:val="28"/>
                <w:szCs w:val="28"/>
              </w:rPr>
              <w:t>㎡</w:t>
            </w:r>
          </w:p>
        </w:tc>
        <w:tc>
          <w:tcPr>
            <w:tcW w:w="1785" w:type="dxa"/>
            <w:tcBorders>
              <w:top w:val="single" w:sz="4" w:space="0" w:color="auto"/>
              <w:left w:val="nil"/>
              <w:bottom w:val="single" w:sz="4" w:space="0" w:color="auto"/>
              <w:right w:val="single" w:sz="4" w:space="0" w:color="auto"/>
            </w:tcBorders>
            <w:vAlign w:val="center"/>
          </w:tcPr>
          <w:p w14:paraId="18CB2619"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30-100</w:t>
            </w:r>
          </w:p>
        </w:tc>
        <w:tc>
          <w:tcPr>
            <w:tcW w:w="3750" w:type="dxa"/>
            <w:vMerge/>
            <w:tcBorders>
              <w:top w:val="nil"/>
              <w:left w:val="nil"/>
              <w:bottom w:val="single" w:sz="4" w:space="0" w:color="auto"/>
              <w:right w:val="single" w:sz="4" w:space="0" w:color="auto"/>
            </w:tcBorders>
            <w:vAlign w:val="center"/>
          </w:tcPr>
          <w:p w14:paraId="44815DB4" w14:textId="77777777" w:rsidR="00686575" w:rsidRPr="00444D6B" w:rsidRDefault="00686575" w:rsidP="00444D6B">
            <w:pPr>
              <w:spacing w:beforeLines="50" w:before="156" w:afterLines="50" w:after="156" w:line="600" w:lineRule="exact"/>
              <w:ind w:firstLineChars="200" w:firstLine="560"/>
              <w:rPr>
                <w:rFonts w:asciiTheme="minorEastAsia" w:hAnsiTheme="minorEastAsia" w:cs="宋体"/>
                <w:sz w:val="28"/>
                <w:szCs w:val="28"/>
              </w:rPr>
            </w:pPr>
          </w:p>
        </w:tc>
      </w:tr>
      <w:tr w:rsidR="006B22CA" w:rsidRPr="00302129" w14:paraId="65B9824B" w14:textId="77777777">
        <w:trPr>
          <w:cantSplit/>
          <w:trHeight w:val="465"/>
        </w:trPr>
        <w:tc>
          <w:tcPr>
            <w:tcW w:w="2105" w:type="dxa"/>
            <w:tcBorders>
              <w:top w:val="single" w:sz="4" w:space="0" w:color="auto"/>
              <w:left w:val="single" w:sz="4" w:space="0" w:color="auto"/>
              <w:bottom w:val="single" w:sz="4" w:space="0" w:color="auto"/>
              <w:right w:val="single" w:sz="4" w:space="0" w:color="auto"/>
            </w:tcBorders>
            <w:vAlign w:val="center"/>
          </w:tcPr>
          <w:p w14:paraId="12A9B79F"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hint="eastAsia"/>
                <w:sz w:val="28"/>
                <w:szCs w:val="28"/>
              </w:rPr>
              <w:t>禽畜棚舍</w:t>
            </w:r>
          </w:p>
        </w:tc>
        <w:tc>
          <w:tcPr>
            <w:tcW w:w="1725" w:type="dxa"/>
            <w:tcBorders>
              <w:top w:val="single" w:sz="4" w:space="0" w:color="auto"/>
              <w:left w:val="nil"/>
              <w:bottom w:val="single" w:sz="4" w:space="0" w:color="auto"/>
              <w:right w:val="single" w:sz="4" w:space="0" w:color="auto"/>
            </w:tcBorders>
            <w:vAlign w:val="center"/>
          </w:tcPr>
          <w:p w14:paraId="13F61546"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w:t>
            </w:r>
            <w:r w:rsidRPr="00444D6B">
              <w:rPr>
                <w:rFonts w:asciiTheme="minorEastAsia" w:hAnsiTheme="minorEastAsia" w:cs="宋体" w:hint="eastAsia"/>
                <w:sz w:val="28"/>
                <w:szCs w:val="28"/>
              </w:rPr>
              <w:t>㎡</w:t>
            </w:r>
          </w:p>
        </w:tc>
        <w:tc>
          <w:tcPr>
            <w:tcW w:w="1785" w:type="dxa"/>
            <w:tcBorders>
              <w:top w:val="single" w:sz="4" w:space="0" w:color="auto"/>
              <w:left w:val="nil"/>
              <w:bottom w:val="single" w:sz="4" w:space="0" w:color="auto"/>
              <w:right w:val="single" w:sz="4" w:space="0" w:color="auto"/>
            </w:tcBorders>
            <w:vAlign w:val="center"/>
          </w:tcPr>
          <w:p w14:paraId="629ACEFB" w14:textId="77777777" w:rsidR="00686575" w:rsidRPr="00444D6B" w:rsidRDefault="006E7A8A" w:rsidP="00444D6B">
            <w:pPr>
              <w:spacing w:beforeLines="50" w:before="156" w:afterLines="50" w:after="156" w:line="600" w:lineRule="exact"/>
              <w:jc w:val="center"/>
              <w:rPr>
                <w:rFonts w:asciiTheme="minorEastAsia" w:hAnsiTheme="minorEastAsia" w:cs="宋体"/>
                <w:sz w:val="28"/>
                <w:szCs w:val="28"/>
              </w:rPr>
            </w:pPr>
            <w:r w:rsidRPr="00444D6B">
              <w:rPr>
                <w:rFonts w:asciiTheme="minorEastAsia" w:hAnsiTheme="minorEastAsia" w:cs="宋体"/>
                <w:sz w:val="28"/>
                <w:szCs w:val="28"/>
              </w:rPr>
              <w:t>15-30</w:t>
            </w:r>
          </w:p>
        </w:tc>
        <w:tc>
          <w:tcPr>
            <w:tcW w:w="3750" w:type="dxa"/>
            <w:vMerge/>
            <w:tcBorders>
              <w:top w:val="nil"/>
              <w:left w:val="nil"/>
              <w:bottom w:val="single" w:sz="4" w:space="0" w:color="auto"/>
              <w:right w:val="single" w:sz="4" w:space="0" w:color="auto"/>
            </w:tcBorders>
            <w:vAlign w:val="center"/>
          </w:tcPr>
          <w:p w14:paraId="680367FF" w14:textId="77777777" w:rsidR="00686575" w:rsidRPr="00444D6B" w:rsidRDefault="00686575" w:rsidP="00444D6B">
            <w:pPr>
              <w:spacing w:beforeLines="50" w:before="156" w:afterLines="50" w:after="156" w:line="600" w:lineRule="exact"/>
              <w:ind w:firstLineChars="200" w:firstLine="560"/>
              <w:rPr>
                <w:rFonts w:asciiTheme="minorEastAsia" w:hAnsiTheme="minorEastAsia" w:cs="宋体"/>
                <w:sz w:val="28"/>
                <w:szCs w:val="28"/>
              </w:rPr>
            </w:pPr>
          </w:p>
        </w:tc>
      </w:tr>
    </w:tbl>
    <w:p w14:paraId="18C85D3A" w14:textId="77777777" w:rsidR="00686575" w:rsidRPr="00444D6B" w:rsidRDefault="006E7A8A" w:rsidP="00444D6B">
      <w:pPr>
        <w:pStyle w:val="a5"/>
        <w:widowControl/>
        <w:spacing w:beforeLines="50" w:before="156" w:beforeAutospacing="0" w:afterLines="50" w:after="156" w:afterAutospacing="0" w:line="600" w:lineRule="exact"/>
        <w:ind w:firstLineChars="200" w:firstLine="560"/>
        <w:jc w:val="both"/>
        <w:rPr>
          <w:rFonts w:asciiTheme="minorEastAsia" w:hAnsiTheme="minorEastAsia"/>
          <w:sz w:val="28"/>
          <w:szCs w:val="28"/>
        </w:rPr>
      </w:pPr>
      <w:r w:rsidRPr="00444D6B">
        <w:rPr>
          <w:rFonts w:asciiTheme="minorEastAsia" w:hAnsiTheme="minorEastAsia" w:hint="eastAsia"/>
          <w:sz w:val="28"/>
          <w:szCs w:val="28"/>
        </w:rPr>
        <w:t>征地房屋的水费、电费、电视、宽带费等费用，由房屋所有权人在搬迁腾空验收前自行到相关单位缴清。</w:t>
      </w:r>
    </w:p>
    <w:p w14:paraId="59AD35B6"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楷体_GB2312"/>
          <w:bCs/>
          <w:sz w:val="28"/>
          <w:szCs w:val="28"/>
        </w:rPr>
      </w:pPr>
      <w:r w:rsidRPr="00444D6B">
        <w:rPr>
          <w:rFonts w:asciiTheme="minorEastAsia" w:hAnsiTheme="minorEastAsia" w:cs="楷体_GB2312" w:hint="eastAsia"/>
          <w:bCs/>
          <w:sz w:val="28"/>
          <w:szCs w:val="28"/>
        </w:rPr>
        <w:t>（三）停产停业损失补偿。</w:t>
      </w:r>
    </w:p>
    <w:p w14:paraId="64F2776F"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sz w:val="28"/>
          <w:szCs w:val="28"/>
        </w:rPr>
      </w:pPr>
      <w:r w:rsidRPr="00444D6B">
        <w:rPr>
          <w:rFonts w:asciiTheme="minorEastAsia" w:hAnsiTheme="minorEastAsia" w:cs="仿宋_GB2312" w:hint="eastAsia"/>
          <w:sz w:val="28"/>
          <w:szCs w:val="28"/>
        </w:rPr>
        <w:lastRenderedPageBreak/>
        <w:t>对因征收商业或其他非住宅用房（工业用房除外）造成停产停业损失的补偿，补偿标准按征地房屋合法产权建筑面积的评估价值</w:t>
      </w:r>
      <w:r w:rsidRPr="00444D6B">
        <w:rPr>
          <w:rFonts w:asciiTheme="minorEastAsia" w:hAnsiTheme="minorEastAsia" w:cs="仿宋_GB2312"/>
          <w:sz w:val="28"/>
          <w:szCs w:val="28"/>
        </w:rPr>
        <w:t>5%计算。</w:t>
      </w:r>
    </w:p>
    <w:p w14:paraId="44DCC1E1" w14:textId="77777777" w:rsidR="00686575" w:rsidRPr="00444D6B" w:rsidRDefault="006E7A8A" w:rsidP="00444D6B">
      <w:pPr>
        <w:spacing w:beforeLines="50" w:before="156" w:afterLines="50" w:after="156" w:line="600" w:lineRule="exact"/>
        <w:ind w:firstLineChars="200" w:firstLine="560"/>
        <w:rPr>
          <w:rFonts w:asciiTheme="minorEastAsia" w:hAnsiTheme="minorEastAsia" w:cs="仿宋_GB2312"/>
          <w:sz w:val="28"/>
          <w:szCs w:val="28"/>
        </w:rPr>
      </w:pPr>
      <w:r w:rsidRPr="00444D6B">
        <w:rPr>
          <w:rFonts w:asciiTheme="minorEastAsia" w:hAnsiTheme="minorEastAsia" w:cs="仿宋_GB2312" w:hint="eastAsia"/>
          <w:sz w:val="28"/>
          <w:szCs w:val="28"/>
        </w:rPr>
        <w:t>生产经营者认为其停产停业损失超过依照前款规定计算的补偿费的，应当向实施单位提供房屋被征收前三年的效益、纳税凭证、停产停业期限等相关证明材料。停产停业的损失应由资产评估机构评估确定。</w:t>
      </w:r>
    </w:p>
    <w:p w14:paraId="6406A56F"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楷体_GB2312" w:hint="eastAsia"/>
          <w:color w:val="404040"/>
          <w:sz w:val="28"/>
          <w:szCs w:val="28"/>
        </w:rPr>
        <w:t>（四）安置建筑面积计算标准</w:t>
      </w:r>
    </w:p>
    <w:p w14:paraId="6E058536"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1、征地房屋一自然间（指宅基地范围内合法（或认定）建筑底层占地面积大于或等于35㎡的住宅）安置建筑面积175㎡。</w:t>
      </w:r>
    </w:p>
    <w:p w14:paraId="64D46C6A"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2、征地房屋不足一自然间的，按合法（或认定）建筑底层占地面积与安置建筑面积比率1:5计算；不足一自然间且房屋所有权人家庭在征地所在村内无其他房屋（包括未列入征地范围、已拆迁安置和已出售、赠与他人的房屋等）的，可按一自然间标准计算。</w:t>
      </w:r>
    </w:p>
    <w:p w14:paraId="44500BD4"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3、征地房屋一自然间宅基地上合法（或认定）建筑面积大于175㎡的，安置建筑面积按合法建筑面积1:1计算。</w:t>
      </w:r>
    </w:p>
    <w:p w14:paraId="4DE29E61"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4、已建成公寓式套房的，安置建筑面积按合法建筑面积1:1.2计算。</w:t>
      </w:r>
    </w:p>
    <w:p w14:paraId="09E2CB54"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5、征地房屋一自然间（套）多人共有或被分隔成多间多人所有的按一自然间（套）计算。</w:t>
      </w:r>
    </w:p>
    <w:p w14:paraId="5C9F120E"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lastRenderedPageBreak/>
        <w:t>6.商业用房部分的安置建筑面积从征地房屋总安置建筑面积中扣除，剩余安置面积为住宅安置建筑面积。</w:t>
      </w:r>
    </w:p>
    <w:p w14:paraId="5D849A4C"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r w:rsidRPr="00444D6B">
        <w:rPr>
          <w:rFonts w:asciiTheme="minorEastAsia" w:hAnsiTheme="minorEastAsia" w:cs="仿宋_GB2312"/>
          <w:color w:val="404040"/>
          <w:sz w:val="28"/>
          <w:szCs w:val="28"/>
        </w:rPr>
        <w:t>7</w:t>
      </w:r>
      <w:r w:rsidRPr="00444D6B">
        <w:rPr>
          <w:rFonts w:asciiTheme="minorEastAsia" w:hAnsiTheme="minorEastAsia" w:cs="仿宋_GB2312" w:hint="eastAsia"/>
          <w:color w:val="404040"/>
          <w:sz w:val="28"/>
          <w:szCs w:val="28"/>
        </w:rPr>
        <w:t>.村集体办公、生产经营用房按土地使用权证面积的1:1.8或合法建筑面积1:1计算三产用房安置建筑面积。</w:t>
      </w:r>
    </w:p>
    <w:p w14:paraId="43202F13"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黑体" w:hint="eastAsia"/>
          <w:color w:val="404040"/>
          <w:sz w:val="28"/>
          <w:szCs w:val="28"/>
        </w:rPr>
        <w:t>六、奖励措施</w:t>
      </w:r>
    </w:p>
    <w:p w14:paraId="44BAC119"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一）房屋所有权人在规定的签约期限内签约的，给予征地房屋每一自然间15平方米的安置建筑面积奖励，在规定的期限内搬迁腾空并经验收合格的，给予征地房屋每一自然间20平方米的安置建筑面积奖励（不足一自然间的按比率计算）。</w:t>
      </w:r>
    </w:p>
    <w:p w14:paraId="4B8EA3B7"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征地房屋为公寓式的房屋所有权人在房屋补偿方案公告确定的签约期限内签订《房屋补偿协议书》的，给予征地房屋合法（或认定）建筑面积12%的安置建筑面积奖励，在规定的期限内腾空搬迁并验收合格的，给予征地房屋合法（或认定）建筑面积18%的安置建筑面积奖励。每套奖励的建筑面积最高不超过45平方米，最低不小于25平方米。</w:t>
      </w:r>
    </w:p>
    <w:p w14:paraId="3A2B6FD5"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（二）房屋所有权人选择货币补偿安置的，住宅部分给予货币补偿安置建筑面积（含奖励面积）回购款5%的奖励；商业部分给予商业评估价值5%的奖励。</w:t>
      </w:r>
    </w:p>
    <w:p w14:paraId="2F6E1BBE"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黑体" w:hint="eastAsia"/>
          <w:color w:val="404040"/>
          <w:sz w:val="28"/>
          <w:szCs w:val="28"/>
        </w:rPr>
        <w:t>七、安置方式</w:t>
      </w:r>
    </w:p>
    <w:p w14:paraId="3EFF02C9" w14:textId="77777777" w:rsidR="00B82DF3" w:rsidRPr="00444D6B" w:rsidRDefault="00B82DF3" w:rsidP="00444D6B">
      <w:pPr>
        <w:spacing w:beforeLines="50" w:before="156" w:afterLines="50" w:after="156" w:line="600" w:lineRule="exact"/>
        <w:ind w:firstLineChars="200" w:firstLine="560"/>
        <w:rPr>
          <w:rFonts w:asciiTheme="minorEastAsia" w:hAnsiTheme="minorEastAsia" w:cs="仿宋_GB2312"/>
          <w:color w:val="404040"/>
          <w:kern w:val="0"/>
          <w:sz w:val="28"/>
          <w:szCs w:val="28"/>
        </w:rPr>
      </w:pPr>
      <w:r w:rsidRPr="00444D6B">
        <w:rPr>
          <w:rFonts w:asciiTheme="minorEastAsia" w:hAnsiTheme="minorEastAsia" w:cs="仿宋_GB2312"/>
          <w:color w:val="404040"/>
          <w:kern w:val="0"/>
          <w:sz w:val="28"/>
          <w:szCs w:val="28"/>
        </w:rPr>
        <w:t>安置方式分为货币补偿安置、产权调换安置两种方式，房屋所有权人可选择其中一种安置方式,也可在房屋产权调换安置协议生效后</w:t>
      </w:r>
      <w:r w:rsidRPr="00444D6B">
        <w:rPr>
          <w:rFonts w:asciiTheme="minorEastAsia" w:hAnsiTheme="minorEastAsia" w:cs="仿宋_GB2312"/>
          <w:color w:val="404040"/>
          <w:kern w:val="0"/>
          <w:sz w:val="28"/>
          <w:szCs w:val="28"/>
        </w:rPr>
        <w:lastRenderedPageBreak/>
        <w:t>申请转换为市场化期房(房票）安置。</w:t>
      </w:r>
    </w:p>
    <w:p w14:paraId="43DC59B4"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（一）货币补偿安置</w:t>
      </w:r>
    </w:p>
    <w:p w14:paraId="776A2E39"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选择货币补偿安置的，实施单位给予房屋所有权人一次性货币补偿，不再提供安置用房。</w:t>
      </w:r>
    </w:p>
    <w:p w14:paraId="3F7C26C2"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1、住宅用房货币补偿款的构成：</w:t>
      </w:r>
    </w:p>
    <w:p w14:paraId="18E7C99B"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由房屋重置成新价、一次性搬迁费、6个月临时过渡安置费、其它补偿费、安置建筑面积（含奖励面积）回购款、货币补偿安置建筑面积（含奖励面积）回购款5%的奖励构成。</w:t>
      </w:r>
    </w:p>
    <w:p w14:paraId="0F2DECB8"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本工程安置建筑面积回购单价为4000元/㎡。</w:t>
      </w:r>
    </w:p>
    <w:p w14:paraId="6FDF052A"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2、商业用房货币补偿款的构成：</w:t>
      </w:r>
    </w:p>
    <w:p w14:paraId="59D6108C"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cs="仿宋_GB2312" w:hint="eastAsia"/>
          <w:color w:val="404040"/>
          <w:sz w:val="28"/>
          <w:szCs w:val="28"/>
        </w:rPr>
        <w:t>由</w:t>
      </w:r>
      <w:r w:rsidRPr="00444D6B">
        <w:rPr>
          <w:rFonts w:asciiTheme="minorEastAsia" w:hAnsiTheme="minorEastAsia" w:hint="eastAsia"/>
          <w:sz w:val="28"/>
          <w:szCs w:val="28"/>
        </w:rPr>
        <w:t>商业用房评估价值、一次性搬迁费、6个月临时过渡安置费、停产停业损失补偿、商业用房评估价值5%的奖励款构成。</w:t>
      </w:r>
    </w:p>
    <w:p w14:paraId="0445A11B"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cs="仿宋_GB2312"/>
          <w:color w:val="404040"/>
          <w:sz w:val="28"/>
          <w:szCs w:val="28"/>
        </w:rPr>
      </w:pPr>
      <w:r w:rsidRPr="00444D6B">
        <w:rPr>
          <w:rFonts w:asciiTheme="minorEastAsia" w:hAnsiTheme="minorEastAsia" w:hint="eastAsia"/>
          <w:sz w:val="28"/>
          <w:szCs w:val="28"/>
        </w:rPr>
        <w:t>3、货币补偿款支付：实施单位应当在征地房屋搬迁腾空验收合格后，按照补偿协议约定一次性支付给房屋所有权人货币补偿款。</w:t>
      </w:r>
    </w:p>
    <w:p w14:paraId="7E423EE7"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楷体_GB2312" w:hint="eastAsia"/>
          <w:color w:val="404040"/>
          <w:sz w:val="28"/>
          <w:szCs w:val="28"/>
        </w:rPr>
        <w:t>（二）产权调换安置</w:t>
      </w:r>
    </w:p>
    <w:p w14:paraId="4E7429AA"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1.选择产权调换安置的，可按本方案规定选择确定住宅安置房屋建筑面积，安置房按套型认购后，剩余安置建筑面积由实施单位回</w:t>
      </w:r>
      <w:r w:rsidRPr="00444D6B">
        <w:rPr>
          <w:rFonts w:asciiTheme="minorEastAsia" w:hAnsiTheme="minorEastAsia" w:cs="仿宋_GB2312" w:hint="eastAsia"/>
          <w:color w:val="404040"/>
          <w:sz w:val="28"/>
          <w:szCs w:val="28"/>
        </w:rPr>
        <w:lastRenderedPageBreak/>
        <w:t>购。在房源许可的情况下，住宅安置房套型选择时可增购不大于住宅产权调换安置建筑面积（不含奖励面积）8%的安置房建筑面积。</w:t>
      </w:r>
    </w:p>
    <w:p w14:paraId="596F4170" w14:textId="77777777" w:rsidR="00686575" w:rsidRPr="00444D6B" w:rsidRDefault="006E7A8A" w:rsidP="00444D6B">
      <w:pPr>
        <w:pStyle w:val="a5"/>
        <w:widowControl/>
        <w:spacing w:beforeLines="50" w:before="156" w:beforeAutospacing="0" w:afterLines="50" w:after="156" w:afterAutospacing="0" w:line="600" w:lineRule="exact"/>
        <w:ind w:firstLine="630"/>
        <w:rPr>
          <w:rFonts w:asciiTheme="minorEastAsia" w:hAnsiTheme="minorEastAsia"/>
          <w:sz w:val="28"/>
          <w:szCs w:val="28"/>
        </w:rPr>
      </w:pPr>
      <w:r w:rsidRPr="00444D6B">
        <w:rPr>
          <w:rStyle w:val="a6"/>
          <w:rFonts w:asciiTheme="minorEastAsia" w:hAnsiTheme="minorEastAsia" w:cs="仿宋_GB2312" w:hint="eastAsia"/>
          <w:b w:val="0"/>
          <w:bCs/>
          <w:color w:val="404040"/>
          <w:sz w:val="28"/>
          <w:szCs w:val="28"/>
        </w:rPr>
        <w:t>2.安置房源</w:t>
      </w:r>
    </w:p>
    <w:p w14:paraId="1C2E47FF" w14:textId="77777777" w:rsidR="00686575" w:rsidRPr="00444D6B" w:rsidRDefault="006E7A8A" w:rsidP="00444D6B">
      <w:pPr>
        <w:pStyle w:val="a5"/>
        <w:widowControl/>
        <w:spacing w:beforeLines="50" w:before="156" w:beforeAutospacing="0" w:afterLines="50" w:after="156" w:afterAutospacing="0" w:line="600" w:lineRule="exact"/>
        <w:ind w:firstLineChars="200" w:firstLine="560"/>
        <w:jc w:val="both"/>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（1）安置房源地址：住宅用房安置房地址在飞云街道石碣门团块（飞云新区控规05-36地块）内的新建期房；商业用房为门面式（或商场式）商铺。</w:t>
      </w:r>
    </w:p>
    <w:p w14:paraId="50D8D684" w14:textId="26F69596"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2）安置房源建设标准及套型：安置房源土地使用权类型为国有出让，建设标准为符合建筑设计规范、工程质量标准和相应附属配套设施要求的高层建筑毛坯期房，安置房套型建筑面积分别为80平方米、100平方米、120平方米、140平方米左右四档套型，具体以安置房竣工后实测建筑面积为准。</w:t>
      </w:r>
    </w:p>
    <w:p w14:paraId="29AA5827" w14:textId="77777777" w:rsidR="00686575" w:rsidRPr="00444D6B" w:rsidRDefault="006E7A8A" w:rsidP="00444D6B">
      <w:pPr>
        <w:pStyle w:val="a5"/>
        <w:widowControl/>
        <w:spacing w:beforeLines="50" w:before="156" w:beforeAutospacing="0" w:afterLines="50" w:after="156" w:afterAutospacing="0" w:line="600" w:lineRule="exact"/>
        <w:ind w:firstLine="630"/>
        <w:jc w:val="both"/>
        <w:rPr>
          <w:rFonts w:asciiTheme="minorEastAsia" w:hAnsiTheme="minorEastAsia"/>
          <w:bCs/>
          <w:sz w:val="28"/>
          <w:szCs w:val="28"/>
        </w:rPr>
      </w:pPr>
      <w:r w:rsidRPr="00444D6B">
        <w:rPr>
          <w:rStyle w:val="a6"/>
          <w:rFonts w:asciiTheme="minorEastAsia" w:hAnsiTheme="minorEastAsia" w:cs="仿宋_GB2312" w:hint="eastAsia"/>
          <w:b w:val="0"/>
          <w:bCs/>
          <w:color w:val="404040"/>
          <w:sz w:val="28"/>
          <w:szCs w:val="28"/>
        </w:rPr>
        <w:t>3.安置房价格与购房款结算标准</w:t>
      </w:r>
    </w:p>
    <w:p w14:paraId="07048D9D"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b/>
          <w:bCs/>
          <w:sz w:val="28"/>
          <w:szCs w:val="28"/>
        </w:rPr>
      </w:pPr>
      <w:r w:rsidRPr="00444D6B">
        <w:rPr>
          <w:rFonts w:asciiTheme="minorEastAsia" w:hAnsiTheme="minorEastAsia" w:hint="eastAsia"/>
          <w:sz w:val="28"/>
          <w:szCs w:val="28"/>
        </w:rPr>
        <w:t>（1）住宅安置房价格</w:t>
      </w:r>
      <w:r w:rsidRPr="00444D6B">
        <w:rPr>
          <w:rFonts w:asciiTheme="minorEastAsia" w:hAnsiTheme="minorEastAsia" w:cs="仿宋_GB2312" w:hint="eastAsia"/>
          <w:color w:val="404040"/>
          <w:sz w:val="28"/>
          <w:szCs w:val="28"/>
        </w:rPr>
        <w:t>：以5000元</w:t>
      </w:r>
      <w:r w:rsidRPr="00444D6B">
        <w:rPr>
          <w:rFonts w:asciiTheme="minorEastAsia" w:hAnsiTheme="minorEastAsia" w:hint="eastAsia"/>
          <w:sz w:val="28"/>
          <w:szCs w:val="28"/>
        </w:rPr>
        <w:t>/㎡为均价，具体房源价格结合安置房位置、楼层、朝向等差价，实行一房一价，在安置房认购定位前向房屋所有权人公开。具体购房款结合实际建筑面积按照有关结算标准进行结算。</w:t>
      </w:r>
    </w:p>
    <w:p w14:paraId="54B97169"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（2）购房款结算标准：</w:t>
      </w:r>
    </w:p>
    <w:p w14:paraId="6940BDE1"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①选择套型建筑面积在产权调换安置建筑面积内的，按</w:t>
      </w:r>
      <w:r w:rsidRPr="00444D6B">
        <w:rPr>
          <w:rFonts w:asciiTheme="minorEastAsia" w:hAnsiTheme="minorEastAsia" w:cs="仿宋_GB2312"/>
          <w:color w:val="404040"/>
          <w:sz w:val="28"/>
          <w:szCs w:val="28"/>
        </w:rPr>
        <w:t>50</w:t>
      </w:r>
      <w:r w:rsidRPr="00444D6B">
        <w:rPr>
          <w:rFonts w:asciiTheme="minorEastAsia" w:hAnsiTheme="minorEastAsia" w:cs="仿宋_GB2312" w:hint="eastAsia"/>
          <w:color w:val="404040"/>
          <w:sz w:val="28"/>
          <w:szCs w:val="28"/>
        </w:rPr>
        <w:t>00元/平方米+位置、楼层、朝向等差价结算；</w:t>
      </w:r>
    </w:p>
    <w:p w14:paraId="73C160CA"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lastRenderedPageBreak/>
        <w:t>②选择套型建筑面积大于产权调换安置建筑面积且在增购面积标准内的，其增购部分面积按</w:t>
      </w:r>
      <w:r w:rsidRPr="00444D6B">
        <w:rPr>
          <w:rFonts w:asciiTheme="minorEastAsia" w:hAnsiTheme="minorEastAsia" w:cs="仿宋_GB2312"/>
          <w:color w:val="404040"/>
          <w:sz w:val="28"/>
          <w:szCs w:val="28"/>
        </w:rPr>
        <w:t>9000</w:t>
      </w:r>
      <w:r w:rsidRPr="00444D6B">
        <w:rPr>
          <w:rFonts w:asciiTheme="minorEastAsia" w:hAnsiTheme="minorEastAsia" w:cs="仿宋_GB2312" w:hint="eastAsia"/>
          <w:color w:val="404040"/>
          <w:sz w:val="28"/>
          <w:szCs w:val="28"/>
        </w:rPr>
        <w:t>元/平方米+位置、楼层、朝向等差价结算；</w:t>
      </w:r>
    </w:p>
    <w:p w14:paraId="5CAB0F7B" w14:textId="69DA47C9"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③选择套型建筑面积超出允许增购面积标准部分的建筑面积，按</w:t>
      </w:r>
      <w:r w:rsidR="00694861" w:rsidRPr="00444D6B">
        <w:rPr>
          <w:rFonts w:asciiTheme="minorEastAsia" w:hAnsiTheme="minorEastAsia" w:cs="仿宋_GB2312"/>
          <w:color w:val="404040"/>
          <w:sz w:val="28"/>
          <w:szCs w:val="28"/>
        </w:rPr>
        <w:t>107</w:t>
      </w:r>
      <w:r w:rsidR="00694861">
        <w:rPr>
          <w:rFonts w:asciiTheme="minorEastAsia" w:hAnsiTheme="minorEastAsia" w:cs="仿宋_GB2312"/>
          <w:color w:val="404040"/>
          <w:sz w:val="28"/>
          <w:szCs w:val="28"/>
        </w:rPr>
        <w:t>4</w:t>
      </w:r>
      <w:r w:rsidR="00694861" w:rsidRPr="00444D6B">
        <w:rPr>
          <w:rFonts w:asciiTheme="minorEastAsia" w:hAnsiTheme="minorEastAsia" w:cs="仿宋_GB2312"/>
          <w:color w:val="404040"/>
          <w:sz w:val="28"/>
          <w:szCs w:val="28"/>
        </w:rPr>
        <w:t>0</w:t>
      </w:r>
      <w:r w:rsidRPr="00444D6B">
        <w:rPr>
          <w:rFonts w:asciiTheme="minorEastAsia" w:hAnsiTheme="minorEastAsia" w:cs="仿宋_GB2312" w:hint="eastAsia"/>
          <w:color w:val="404040"/>
          <w:sz w:val="28"/>
          <w:szCs w:val="28"/>
        </w:rPr>
        <w:t>元/平方米+位置、楼层、朝向等差价结算；</w:t>
      </w:r>
    </w:p>
    <w:p w14:paraId="297DC351"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hint="eastAsia"/>
          <w:sz w:val="28"/>
          <w:szCs w:val="28"/>
        </w:rPr>
        <w:t>（3）商业用房安置房房款结算价格按由房地产评估机构评估确定的市场评估价结算，实行一房一价。</w:t>
      </w:r>
    </w:p>
    <w:p w14:paraId="58BAC7E7"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4.剩余安置建筑面积回购：房屋所有权人安置房按套型认购后，剩余安置建筑面积由实施单位回购，剩余安置建筑面积回购款=剩余安置建筑面积</w:t>
      </w:r>
      <w:r w:rsidRPr="00444D6B">
        <w:rPr>
          <w:rFonts w:asciiTheme="minorEastAsia" w:hAnsiTheme="minorEastAsia" w:cs="仿宋_GB2312"/>
          <w:color w:val="404040"/>
          <w:sz w:val="28"/>
          <w:szCs w:val="28"/>
        </w:rPr>
        <w:t>×</w:t>
      </w:r>
      <w:r w:rsidRPr="00444D6B">
        <w:rPr>
          <w:rFonts w:asciiTheme="minorEastAsia" w:hAnsiTheme="minorEastAsia" w:cs="仿宋_GB2312" w:hint="eastAsia"/>
          <w:color w:val="404040"/>
          <w:sz w:val="28"/>
          <w:szCs w:val="28"/>
        </w:rPr>
        <w:t>回购单价</w:t>
      </w:r>
      <w:r w:rsidRPr="00444D6B">
        <w:rPr>
          <w:rFonts w:asciiTheme="minorEastAsia" w:hAnsiTheme="minorEastAsia" w:cs="仿宋_GB2312"/>
          <w:color w:val="404040"/>
          <w:sz w:val="28"/>
          <w:szCs w:val="28"/>
        </w:rPr>
        <w:t>4000</w:t>
      </w:r>
      <w:r w:rsidRPr="00444D6B">
        <w:rPr>
          <w:rFonts w:asciiTheme="minorEastAsia" w:hAnsiTheme="minorEastAsia" w:cs="仿宋_GB2312" w:hint="eastAsia"/>
          <w:color w:val="404040"/>
          <w:sz w:val="28"/>
          <w:szCs w:val="28"/>
        </w:rPr>
        <w:t>元/平方米。</w:t>
      </w:r>
    </w:p>
    <w:p w14:paraId="1093BBB8" w14:textId="17B77E5B"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r w:rsidRPr="00444D6B">
        <w:rPr>
          <w:rFonts w:asciiTheme="minorEastAsia" w:hAnsiTheme="minorEastAsia" w:cs="仿宋_GB2312"/>
          <w:color w:val="404040"/>
          <w:sz w:val="28"/>
          <w:szCs w:val="28"/>
        </w:rPr>
        <w:t>5</w:t>
      </w:r>
      <w:r w:rsidRPr="00444D6B">
        <w:rPr>
          <w:rFonts w:asciiTheme="minorEastAsia" w:hAnsiTheme="minorEastAsia" w:cs="仿宋_GB2312" w:hint="eastAsia"/>
          <w:color w:val="404040"/>
          <w:sz w:val="28"/>
          <w:szCs w:val="28"/>
        </w:rPr>
        <w:t>.产权调换安置房房款的交纳：房屋重置成新价、其他补偿费和剩余安置建筑面积回购款等直接转为第一期购房款，补偿款超出安置房总房款的部分返还给房屋所有权人；第二期购房款待安置房主体结构结顶后，交纳购房款总额60%的差额；第三期购房款待安置房主体工程预验收后，交纳购房款总额90%的差额；余款待安置房竣工交付时结清（具体交款时间以交款通知或公告为准）。</w:t>
      </w:r>
    </w:p>
    <w:p w14:paraId="0E952A4F" w14:textId="1F374EEC"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黑体"/>
          <w:color w:val="404040"/>
          <w:sz w:val="28"/>
          <w:szCs w:val="28"/>
        </w:rPr>
      </w:pPr>
      <w:r w:rsidRPr="00444D6B">
        <w:rPr>
          <w:rFonts w:asciiTheme="minorEastAsia" w:hAnsiTheme="minorEastAsia" w:cs="黑体" w:hint="eastAsia"/>
          <w:color w:val="404040"/>
          <w:sz w:val="28"/>
          <w:szCs w:val="28"/>
        </w:rPr>
        <w:t>八、房地产评估机构的选择方式</w:t>
      </w:r>
    </w:p>
    <w:p w14:paraId="0B84CF7A"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房地产评估机构由房屋所有权人协商选定；房屋补偿安置方案公告后十日内仍不能协商选定的，由实施单位按照摇号方式随机确定。</w:t>
      </w:r>
    </w:p>
    <w:p w14:paraId="01182655"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黑体" w:hint="eastAsia"/>
          <w:color w:val="404040"/>
          <w:sz w:val="28"/>
          <w:szCs w:val="28"/>
        </w:rPr>
        <w:t>九、</w:t>
      </w:r>
      <w:r w:rsidRPr="00444D6B">
        <w:rPr>
          <w:rStyle w:val="a6"/>
          <w:rFonts w:asciiTheme="minorEastAsia" w:hAnsiTheme="minorEastAsia" w:cs="黑体" w:hint="eastAsia"/>
          <w:b w:val="0"/>
          <w:color w:val="404040"/>
          <w:sz w:val="28"/>
          <w:szCs w:val="28"/>
        </w:rPr>
        <w:t>安置事项</w:t>
      </w:r>
    </w:p>
    <w:p w14:paraId="16834866"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楷体_GB2312" w:hint="eastAsia"/>
          <w:color w:val="404040"/>
          <w:sz w:val="28"/>
          <w:szCs w:val="28"/>
        </w:rPr>
        <w:t>（一）安置房源认购办法</w:t>
      </w:r>
    </w:p>
    <w:p w14:paraId="457D2967"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1.安置房认购定位原则。以签订《房屋补偿安置协议书》、房屋搬迁腾空及交纳购房款的时间先后顺序综合得分进行排序，按得分高低确定认购定位轮次，先由第一轮次在相应房源中认购定位，第一轮次认购完毕，再由第二轮次认购定位，依次类推，在同一轮次的以抽签或摇号方式确定认购定位顺序。具体定位办法由市政府另行确定。</w:t>
      </w:r>
    </w:p>
    <w:p w14:paraId="6DAA2A2C"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2.评分办法：总分数为100分，其中按时签订《房屋补偿安置协议书》的为40分，按时搬迁腾空并经验收合格的为40分，按期如数交纳购房款的为20分。</w:t>
      </w:r>
    </w:p>
    <w:p w14:paraId="3420C2BC"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签订《房屋补偿安置协议书》得分：在签约期限内签订征地房屋补偿协议书的得40分；逾期签订的，每逾期一天扣4分，扣完为止。</w:t>
      </w:r>
    </w:p>
    <w:p w14:paraId="67DB7DBC"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搬迁腾空得分：在规定的期限内搬迁腾空并经验收合格的得40分；逾期腾空的，每逾期一天扣2分，扣完为止。</w:t>
      </w:r>
    </w:p>
    <w:p w14:paraId="6A739486"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交纳购房款得分：在规定的期限内交足购房款的得20分；逾期交款的，每逾期一天扣2分，扣完为止。</w:t>
      </w:r>
    </w:p>
    <w:p w14:paraId="6F15C2DA"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楷体_GB2312" w:hint="eastAsia"/>
          <w:color w:val="404040"/>
          <w:sz w:val="28"/>
          <w:szCs w:val="28"/>
        </w:rPr>
        <w:lastRenderedPageBreak/>
        <w:t>（二）安置房房源设施权属和其他事项</w:t>
      </w:r>
    </w:p>
    <w:p w14:paraId="30E10DCC" w14:textId="77777777" w:rsidR="00686575" w:rsidRPr="00444D6B" w:rsidRDefault="006E7A8A" w:rsidP="00444D6B">
      <w:pPr>
        <w:pStyle w:val="a5"/>
        <w:widowControl/>
        <w:spacing w:beforeLines="50" w:before="156" w:beforeAutospacing="0" w:afterLines="50" w:after="156" w:afterAutospacing="0" w:line="600" w:lineRule="exact"/>
        <w:ind w:firstLine="615"/>
        <w:jc w:val="both"/>
        <w:rPr>
          <w:rFonts w:asciiTheme="minorEastAsia" w:hAnsiTheme="minorEastAsia"/>
          <w:sz w:val="28"/>
          <w:szCs w:val="28"/>
        </w:rPr>
      </w:pPr>
      <w:r w:rsidRPr="00444D6B">
        <w:rPr>
          <w:rFonts w:asciiTheme="minorEastAsia" w:hAnsiTheme="minorEastAsia" w:cs="仿宋_GB2312" w:hint="eastAsia"/>
          <w:color w:val="404040"/>
          <w:sz w:val="28"/>
          <w:szCs w:val="28"/>
        </w:rPr>
        <w:t>1.安置房源的地下室停车位及地下空间权属归市政府指定的房源建设单位所有。选择产权调换的房屋所有权人每套住宅安置用房可优先配购1个地下停车位。地下室停车位随同选房时定位，均价为6万元/个。具体定位办法另行确定。</w:t>
      </w:r>
    </w:p>
    <w:p w14:paraId="44DB1477"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2.房屋所有权人在安置房交付时应当按规定标准缴纳物业维修资金，签订首期物业服务合同，并缴纳物业管理服务费等相关费用。首期物业服务单位由房源建设单位根据相关规定选聘。煤气、水、电初（报）装费等费用，按规定由房屋所有权人负担。</w:t>
      </w:r>
    </w:p>
    <w:p w14:paraId="23ACEC67"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黑体" w:hint="eastAsia"/>
          <w:color w:val="404040"/>
          <w:sz w:val="28"/>
          <w:szCs w:val="28"/>
        </w:rPr>
        <w:t>十、其他事项</w:t>
      </w:r>
    </w:p>
    <w:p w14:paraId="3BF5F6B9"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一）房屋所有权人应在本方案规定的签约期限内凭不动产权证书、房屋所有权证、土地使用权证或其他合法有效凭证、身份证等，与实施单位签订房屋补偿安置协议书。协议签订时，房屋所有权人应将不动产权证书或房屋所有权证、土地使用权证及有关证件、身份证明等相关材料交由实施单位，由实施单位统一向不动产登记机构办理不动产权证书、房屋所有权、土地使用权注销登记手续。</w:t>
      </w:r>
    </w:p>
    <w:p w14:paraId="6606DFBC"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cs="仿宋_GB2312"/>
          <w:color w:val="404040"/>
          <w:sz w:val="28"/>
          <w:szCs w:val="28"/>
        </w:rPr>
      </w:pPr>
      <w:r w:rsidRPr="00444D6B">
        <w:rPr>
          <w:rFonts w:asciiTheme="minorEastAsia" w:hAnsiTheme="minorEastAsia" w:cs="仿宋_GB2312" w:hint="eastAsia"/>
          <w:color w:val="404040"/>
          <w:sz w:val="28"/>
          <w:szCs w:val="28"/>
        </w:rPr>
        <w:t>（二）实施单位与房屋所有权人依照本方案就补偿方式、补偿金额和支付期限、安置方式、安置地点和面积、过渡方式、过渡期限和违约责任等事项，签订《房屋补偿安置协议书》。</w:t>
      </w:r>
    </w:p>
    <w:p w14:paraId="30C228E8"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lastRenderedPageBreak/>
        <w:t>（三）本补偿方案确定的签约期限内，房屋补偿签约率达到</w:t>
      </w:r>
      <w:r w:rsidRPr="00444D6B">
        <w:rPr>
          <w:rFonts w:asciiTheme="minorEastAsia" w:hAnsiTheme="minorEastAsia" w:cs="仿宋_GB2312"/>
          <w:color w:val="404040"/>
          <w:sz w:val="28"/>
          <w:szCs w:val="28"/>
        </w:rPr>
        <w:t>92</w:t>
      </w:r>
      <w:r w:rsidRPr="00444D6B">
        <w:rPr>
          <w:rFonts w:asciiTheme="minorEastAsia" w:hAnsiTheme="minorEastAsia" w:cs="仿宋_GB2312" w:hint="eastAsia"/>
          <w:color w:val="404040"/>
          <w:sz w:val="28"/>
          <w:szCs w:val="28"/>
        </w:rPr>
        <w:t>%签约比例，补偿协议生效；未达到</w:t>
      </w:r>
      <w:r w:rsidRPr="00444D6B">
        <w:rPr>
          <w:rFonts w:asciiTheme="minorEastAsia" w:hAnsiTheme="minorEastAsia" w:cs="仿宋_GB2312"/>
          <w:color w:val="404040"/>
          <w:sz w:val="28"/>
          <w:szCs w:val="28"/>
        </w:rPr>
        <w:t>92</w:t>
      </w:r>
      <w:r w:rsidRPr="00444D6B">
        <w:rPr>
          <w:rFonts w:asciiTheme="minorEastAsia" w:hAnsiTheme="minorEastAsia" w:cs="仿宋_GB2312" w:hint="eastAsia"/>
          <w:color w:val="404040"/>
          <w:sz w:val="28"/>
          <w:szCs w:val="28"/>
        </w:rPr>
        <w:t>%签约比例，补偿协议不生效。补偿方案效力终止的，由市政府予以公告，并书面告知房屋所有权人。</w:t>
      </w:r>
    </w:p>
    <w:p w14:paraId="23A81E8E"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（四）实施单位与房屋所有权人未签订房屋补偿安置协议的，或者房屋所有权人不明确的，由市政府作出征地补偿安置决定，依法申请法院强制执行。</w:t>
      </w:r>
    </w:p>
    <w:p w14:paraId="03A8F200"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（五）拆除有产权、使用权纠纷或者其他产权不明的房屋，在本方案确定的签约期限内不能解决纠纷或者明晰产权、使用权的，在房屋拆除前，由实施单位向公证机关办理证据保全手续。</w:t>
      </w:r>
    </w:p>
    <w:p w14:paraId="03589743" w14:textId="77777777" w:rsidR="00686575"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（六）房屋所有权人应当按规定的期限签订《房屋补偿安置协议书》，并在搬迁腾空公告规定的期限内完成搬迁，办理房屋腾空移交手续，将征地房屋交给实施单位验收接管，由实施单位统一组织拆除。</w:t>
      </w:r>
    </w:p>
    <w:p w14:paraId="20A5EF27" w14:textId="6BAAF511" w:rsidR="006B22CA" w:rsidRPr="00444D6B" w:rsidRDefault="006E7A8A" w:rsidP="00444D6B">
      <w:pPr>
        <w:pStyle w:val="a5"/>
        <w:widowControl/>
        <w:spacing w:beforeLines="50" w:before="156" w:beforeAutospacing="0" w:afterLines="50" w:after="156" w:afterAutospacing="0" w:line="600" w:lineRule="exact"/>
        <w:ind w:firstLine="615"/>
        <w:rPr>
          <w:rFonts w:asciiTheme="minorEastAsia" w:hAnsiTheme="minorEastAsia"/>
          <w:sz w:val="28"/>
          <w:szCs w:val="28"/>
        </w:rPr>
      </w:pPr>
      <w:r w:rsidRPr="00444D6B">
        <w:rPr>
          <w:rFonts w:asciiTheme="minorEastAsia" w:hAnsiTheme="minorEastAsia" w:cs="仿宋_GB2312" w:hint="eastAsia"/>
          <w:color w:val="404040"/>
          <w:sz w:val="28"/>
          <w:szCs w:val="28"/>
        </w:rPr>
        <w:t>（七）本方案自发布之日起施行，未尽事宜由市政府另作补充规定。</w:t>
      </w:r>
    </w:p>
    <w:sectPr w:rsidR="006B22CA" w:rsidRPr="00444D6B" w:rsidSect="00444D6B">
      <w:footerReference w:type="default" r:id="rId9"/>
      <w:pgSz w:w="11906" w:h="16838" w:code="9"/>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B590B" w14:textId="77777777" w:rsidR="00A503B7" w:rsidRDefault="006E7A8A">
      <w:r>
        <w:separator/>
      </w:r>
    </w:p>
  </w:endnote>
  <w:endnote w:type="continuationSeparator" w:id="0">
    <w:p w14:paraId="2EB08E45" w14:textId="77777777" w:rsidR="00A503B7" w:rsidRDefault="006E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script"/>
    <w:pitch w:val="default"/>
    <w:sig w:usb0="00000000" w:usb1="080E0000" w:usb2="00000000" w:usb3="00000000" w:csb0="00040000"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FD8E7" w14:textId="77777777" w:rsidR="00686575" w:rsidRDefault="006E7A8A">
    <w:pPr>
      <w:pStyle w:val="a3"/>
    </w:pPr>
    <w:r>
      <w:rPr>
        <w:noProof/>
      </w:rPr>
      <mc:AlternateContent>
        <mc:Choice Requires="wps">
          <w:drawing>
            <wp:anchor distT="0" distB="0" distL="114300" distR="114300" simplePos="0" relativeHeight="251659264" behindDoc="0" locked="0" layoutInCell="1" allowOverlap="1" wp14:anchorId="17E3C054" wp14:editId="1756230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8A3BC0" w14:textId="77777777" w:rsidR="00686575" w:rsidRDefault="006E7A8A">
                          <w:pPr>
                            <w:pStyle w:val="a3"/>
                          </w:pPr>
                          <w:r>
                            <w:rPr>
                              <w:rFonts w:hint="eastAsia"/>
                            </w:rPr>
                            <w:fldChar w:fldCharType="begin"/>
                          </w:r>
                          <w:r>
                            <w:rPr>
                              <w:rFonts w:hint="eastAsia"/>
                            </w:rPr>
                            <w:instrText xml:space="preserve"> PAGE  \* MERGEFORMAT </w:instrText>
                          </w:r>
                          <w:r>
                            <w:rPr>
                              <w:rFonts w:hint="eastAsia"/>
                            </w:rPr>
                            <w:fldChar w:fldCharType="separate"/>
                          </w:r>
                          <w:r w:rsidR="00444D6B">
                            <w:rPr>
                              <w:noProof/>
                            </w:rPr>
                            <w:t>- 14 -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E8A3BC0" w14:textId="77777777" w:rsidR="00686575" w:rsidRDefault="006E7A8A">
                    <w:pPr>
                      <w:pStyle w:val="a3"/>
                    </w:pPr>
                    <w:r>
                      <w:rPr>
                        <w:rFonts w:hint="eastAsia"/>
                      </w:rPr>
                      <w:fldChar w:fldCharType="begin"/>
                    </w:r>
                    <w:r>
                      <w:rPr>
                        <w:rFonts w:hint="eastAsia"/>
                      </w:rPr>
                      <w:instrText xml:space="preserve"> PAGE  \* MERGEFORMAT </w:instrText>
                    </w:r>
                    <w:r>
                      <w:rPr>
                        <w:rFonts w:hint="eastAsia"/>
                      </w:rPr>
                      <w:fldChar w:fldCharType="separate"/>
                    </w:r>
                    <w:r w:rsidR="00444D6B">
                      <w:rPr>
                        <w:noProof/>
                      </w:rPr>
                      <w:t>- 14 -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F9E4E" w14:textId="77777777" w:rsidR="00A503B7" w:rsidRDefault="006E7A8A">
      <w:r>
        <w:separator/>
      </w:r>
    </w:p>
  </w:footnote>
  <w:footnote w:type="continuationSeparator" w:id="0">
    <w:p w14:paraId="705C907F" w14:textId="77777777" w:rsidR="00A503B7" w:rsidRDefault="006E7A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
    <w15:presenceInfo w15:providerId="None" w15:userId="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AC"/>
    <w:rsid w:val="0003083C"/>
    <w:rsid w:val="00041184"/>
    <w:rsid w:val="000719DE"/>
    <w:rsid w:val="0015671D"/>
    <w:rsid w:val="00183789"/>
    <w:rsid w:val="00210E4F"/>
    <w:rsid w:val="00283838"/>
    <w:rsid w:val="00290890"/>
    <w:rsid w:val="002C0812"/>
    <w:rsid w:val="00302129"/>
    <w:rsid w:val="003231AC"/>
    <w:rsid w:val="00354177"/>
    <w:rsid w:val="003906CB"/>
    <w:rsid w:val="003D58C6"/>
    <w:rsid w:val="003E6D54"/>
    <w:rsid w:val="003F571A"/>
    <w:rsid w:val="00420C8B"/>
    <w:rsid w:val="00444D6B"/>
    <w:rsid w:val="00446FA9"/>
    <w:rsid w:val="00471771"/>
    <w:rsid w:val="00484D07"/>
    <w:rsid w:val="004C5E84"/>
    <w:rsid w:val="004E4B66"/>
    <w:rsid w:val="00510ACA"/>
    <w:rsid w:val="00512D2B"/>
    <w:rsid w:val="00531A84"/>
    <w:rsid w:val="00551781"/>
    <w:rsid w:val="005720BF"/>
    <w:rsid w:val="00575513"/>
    <w:rsid w:val="00585491"/>
    <w:rsid w:val="005A1EFF"/>
    <w:rsid w:val="005B0D2B"/>
    <w:rsid w:val="005B35CF"/>
    <w:rsid w:val="00632A30"/>
    <w:rsid w:val="00651C66"/>
    <w:rsid w:val="00686575"/>
    <w:rsid w:val="00694861"/>
    <w:rsid w:val="006B22CA"/>
    <w:rsid w:val="006B3C79"/>
    <w:rsid w:val="006D2780"/>
    <w:rsid w:val="006E7A8A"/>
    <w:rsid w:val="00722420"/>
    <w:rsid w:val="00727F09"/>
    <w:rsid w:val="00747249"/>
    <w:rsid w:val="00761195"/>
    <w:rsid w:val="00831AE0"/>
    <w:rsid w:val="00835A29"/>
    <w:rsid w:val="00851CBA"/>
    <w:rsid w:val="008A41C7"/>
    <w:rsid w:val="008A4539"/>
    <w:rsid w:val="008C0955"/>
    <w:rsid w:val="008E2F57"/>
    <w:rsid w:val="0092431F"/>
    <w:rsid w:val="00925402"/>
    <w:rsid w:val="009304EA"/>
    <w:rsid w:val="00956652"/>
    <w:rsid w:val="009611D9"/>
    <w:rsid w:val="009968D0"/>
    <w:rsid w:val="0099726A"/>
    <w:rsid w:val="009B1FAA"/>
    <w:rsid w:val="009D627B"/>
    <w:rsid w:val="009E3D92"/>
    <w:rsid w:val="00A503B7"/>
    <w:rsid w:val="00AC2105"/>
    <w:rsid w:val="00B63147"/>
    <w:rsid w:val="00B677F1"/>
    <w:rsid w:val="00B826BE"/>
    <w:rsid w:val="00B82DF3"/>
    <w:rsid w:val="00BE0134"/>
    <w:rsid w:val="00C00CEB"/>
    <w:rsid w:val="00C06F5B"/>
    <w:rsid w:val="00C147B0"/>
    <w:rsid w:val="00C22584"/>
    <w:rsid w:val="00C460D9"/>
    <w:rsid w:val="00CC415C"/>
    <w:rsid w:val="00DD402F"/>
    <w:rsid w:val="00E06C65"/>
    <w:rsid w:val="00E258B3"/>
    <w:rsid w:val="00FE09F6"/>
    <w:rsid w:val="00FF5D6E"/>
    <w:rsid w:val="01194A5F"/>
    <w:rsid w:val="022E23EF"/>
    <w:rsid w:val="027943AC"/>
    <w:rsid w:val="0289024A"/>
    <w:rsid w:val="02BA6921"/>
    <w:rsid w:val="02F7235F"/>
    <w:rsid w:val="02FE0EDA"/>
    <w:rsid w:val="03AE6464"/>
    <w:rsid w:val="047D5977"/>
    <w:rsid w:val="05807DD9"/>
    <w:rsid w:val="068C2CB8"/>
    <w:rsid w:val="07334E57"/>
    <w:rsid w:val="082F7D0A"/>
    <w:rsid w:val="08A94BD9"/>
    <w:rsid w:val="0906513C"/>
    <w:rsid w:val="092B4433"/>
    <w:rsid w:val="0A5D4CCD"/>
    <w:rsid w:val="0A724DA4"/>
    <w:rsid w:val="0AD528BF"/>
    <w:rsid w:val="0AEA037D"/>
    <w:rsid w:val="0D4E7D21"/>
    <w:rsid w:val="0D705ED6"/>
    <w:rsid w:val="0D747C5F"/>
    <w:rsid w:val="0F562AD3"/>
    <w:rsid w:val="10051416"/>
    <w:rsid w:val="10946AC6"/>
    <w:rsid w:val="109741A8"/>
    <w:rsid w:val="115B0705"/>
    <w:rsid w:val="118E7BED"/>
    <w:rsid w:val="11994B00"/>
    <w:rsid w:val="11AE09D9"/>
    <w:rsid w:val="12CA2EE6"/>
    <w:rsid w:val="13421764"/>
    <w:rsid w:val="13584047"/>
    <w:rsid w:val="14770D58"/>
    <w:rsid w:val="15E65C89"/>
    <w:rsid w:val="167D56F6"/>
    <w:rsid w:val="16CC0FB5"/>
    <w:rsid w:val="16E41E9F"/>
    <w:rsid w:val="175532A2"/>
    <w:rsid w:val="175E4CF2"/>
    <w:rsid w:val="1799191D"/>
    <w:rsid w:val="184C7FE9"/>
    <w:rsid w:val="18BB1160"/>
    <w:rsid w:val="191708CE"/>
    <w:rsid w:val="192F7460"/>
    <w:rsid w:val="1ABB4C30"/>
    <w:rsid w:val="1C6A5590"/>
    <w:rsid w:val="1C7E0E56"/>
    <w:rsid w:val="1CDF14AD"/>
    <w:rsid w:val="1D181986"/>
    <w:rsid w:val="1D9A42A9"/>
    <w:rsid w:val="1ED939B6"/>
    <w:rsid w:val="1F715181"/>
    <w:rsid w:val="1F863B7C"/>
    <w:rsid w:val="1FFD01A5"/>
    <w:rsid w:val="2014316B"/>
    <w:rsid w:val="201F22D1"/>
    <w:rsid w:val="208C29D0"/>
    <w:rsid w:val="20E858B7"/>
    <w:rsid w:val="21987008"/>
    <w:rsid w:val="21A117BE"/>
    <w:rsid w:val="24864C7D"/>
    <w:rsid w:val="24FF7F8B"/>
    <w:rsid w:val="253A7672"/>
    <w:rsid w:val="25413D92"/>
    <w:rsid w:val="26205BC4"/>
    <w:rsid w:val="26376C96"/>
    <w:rsid w:val="282E2D24"/>
    <w:rsid w:val="29652F2B"/>
    <w:rsid w:val="299D1B7D"/>
    <w:rsid w:val="2A0D583B"/>
    <w:rsid w:val="2A392172"/>
    <w:rsid w:val="2A466B8E"/>
    <w:rsid w:val="2A720B94"/>
    <w:rsid w:val="2A9C480A"/>
    <w:rsid w:val="2B2571FD"/>
    <w:rsid w:val="2DBB2CD6"/>
    <w:rsid w:val="2EA859F1"/>
    <w:rsid w:val="2F287FB1"/>
    <w:rsid w:val="2FF07C07"/>
    <w:rsid w:val="303A2B0C"/>
    <w:rsid w:val="31F358BC"/>
    <w:rsid w:val="322F37B9"/>
    <w:rsid w:val="3389150E"/>
    <w:rsid w:val="33DF4842"/>
    <w:rsid w:val="34F606E7"/>
    <w:rsid w:val="350742C1"/>
    <w:rsid w:val="36EF625C"/>
    <w:rsid w:val="374C1890"/>
    <w:rsid w:val="384E3058"/>
    <w:rsid w:val="38D020C1"/>
    <w:rsid w:val="38EB51E5"/>
    <w:rsid w:val="39DA35CB"/>
    <w:rsid w:val="3A182825"/>
    <w:rsid w:val="3AB5033C"/>
    <w:rsid w:val="3AF9529E"/>
    <w:rsid w:val="3C7845D3"/>
    <w:rsid w:val="3D0344E8"/>
    <w:rsid w:val="3E6745F4"/>
    <w:rsid w:val="3F63750A"/>
    <w:rsid w:val="3FC36380"/>
    <w:rsid w:val="40730FDE"/>
    <w:rsid w:val="41104DC8"/>
    <w:rsid w:val="413669EA"/>
    <w:rsid w:val="418B5EB0"/>
    <w:rsid w:val="428D4AF4"/>
    <w:rsid w:val="42946582"/>
    <w:rsid w:val="42F60B5D"/>
    <w:rsid w:val="432070A7"/>
    <w:rsid w:val="453408D2"/>
    <w:rsid w:val="461C1C19"/>
    <w:rsid w:val="46511BFF"/>
    <w:rsid w:val="468B7CE3"/>
    <w:rsid w:val="47F76182"/>
    <w:rsid w:val="48825F81"/>
    <w:rsid w:val="48DF5376"/>
    <w:rsid w:val="48EA6E90"/>
    <w:rsid w:val="49593CD7"/>
    <w:rsid w:val="49C7231B"/>
    <w:rsid w:val="4A442A5A"/>
    <w:rsid w:val="4A57469A"/>
    <w:rsid w:val="4A9B6DDF"/>
    <w:rsid w:val="4B2C16C7"/>
    <w:rsid w:val="4B451888"/>
    <w:rsid w:val="4B687C48"/>
    <w:rsid w:val="4BCA2166"/>
    <w:rsid w:val="4CA7503E"/>
    <w:rsid w:val="4D4003A1"/>
    <w:rsid w:val="4D7859C3"/>
    <w:rsid w:val="4D9108A7"/>
    <w:rsid w:val="4DBC6DCC"/>
    <w:rsid w:val="4E03636E"/>
    <w:rsid w:val="4EB20D3F"/>
    <w:rsid w:val="4F765C05"/>
    <w:rsid w:val="4FDE446D"/>
    <w:rsid w:val="50852754"/>
    <w:rsid w:val="508D37DA"/>
    <w:rsid w:val="50FE331D"/>
    <w:rsid w:val="51265289"/>
    <w:rsid w:val="5135736D"/>
    <w:rsid w:val="518721A2"/>
    <w:rsid w:val="52185454"/>
    <w:rsid w:val="527D27D6"/>
    <w:rsid w:val="53962F5A"/>
    <w:rsid w:val="53C97364"/>
    <w:rsid w:val="53E75204"/>
    <w:rsid w:val="542D71AB"/>
    <w:rsid w:val="55AC0258"/>
    <w:rsid w:val="55B72542"/>
    <w:rsid w:val="56C10DE3"/>
    <w:rsid w:val="57764D5E"/>
    <w:rsid w:val="582C2259"/>
    <w:rsid w:val="586C3119"/>
    <w:rsid w:val="58CA5C3F"/>
    <w:rsid w:val="59D7729B"/>
    <w:rsid w:val="5A464CE9"/>
    <w:rsid w:val="5B206E33"/>
    <w:rsid w:val="5BA96123"/>
    <w:rsid w:val="5BBA51CA"/>
    <w:rsid w:val="5C37145A"/>
    <w:rsid w:val="5C7650E0"/>
    <w:rsid w:val="5CCC65AB"/>
    <w:rsid w:val="5E4F6C47"/>
    <w:rsid w:val="5EBB2505"/>
    <w:rsid w:val="5EE41A6F"/>
    <w:rsid w:val="5F3B1376"/>
    <w:rsid w:val="601D7E2A"/>
    <w:rsid w:val="60DB2627"/>
    <w:rsid w:val="613A4D02"/>
    <w:rsid w:val="614624E6"/>
    <w:rsid w:val="617D2C02"/>
    <w:rsid w:val="61F73336"/>
    <w:rsid w:val="62414FC9"/>
    <w:rsid w:val="63195813"/>
    <w:rsid w:val="632066E6"/>
    <w:rsid w:val="63B85FDD"/>
    <w:rsid w:val="64004BFA"/>
    <w:rsid w:val="643C24A2"/>
    <w:rsid w:val="66485F9E"/>
    <w:rsid w:val="665055C5"/>
    <w:rsid w:val="66703996"/>
    <w:rsid w:val="678B5A9E"/>
    <w:rsid w:val="67BA543B"/>
    <w:rsid w:val="67C51891"/>
    <w:rsid w:val="69583E1D"/>
    <w:rsid w:val="6BC75856"/>
    <w:rsid w:val="6BFA4033"/>
    <w:rsid w:val="6C7320D3"/>
    <w:rsid w:val="6C8C4F0D"/>
    <w:rsid w:val="6CDF79C7"/>
    <w:rsid w:val="6CEF4B47"/>
    <w:rsid w:val="6D2D6AD1"/>
    <w:rsid w:val="6DAE0534"/>
    <w:rsid w:val="6E1C1479"/>
    <w:rsid w:val="6F506DAB"/>
    <w:rsid w:val="7010126E"/>
    <w:rsid w:val="70412A27"/>
    <w:rsid w:val="706734D4"/>
    <w:rsid w:val="70B907FC"/>
    <w:rsid w:val="70E65B8C"/>
    <w:rsid w:val="720206CB"/>
    <w:rsid w:val="72154274"/>
    <w:rsid w:val="72C4799D"/>
    <w:rsid w:val="736E0947"/>
    <w:rsid w:val="73826F34"/>
    <w:rsid w:val="74373CCA"/>
    <w:rsid w:val="74F9469D"/>
    <w:rsid w:val="76441F8C"/>
    <w:rsid w:val="765A03C8"/>
    <w:rsid w:val="76600648"/>
    <w:rsid w:val="766407B6"/>
    <w:rsid w:val="76A20DB9"/>
    <w:rsid w:val="76E83462"/>
    <w:rsid w:val="784C37A0"/>
    <w:rsid w:val="78C11E46"/>
    <w:rsid w:val="78D729FE"/>
    <w:rsid w:val="78FB7F9B"/>
    <w:rsid w:val="79073721"/>
    <w:rsid w:val="79E57C1E"/>
    <w:rsid w:val="7A5D693B"/>
    <w:rsid w:val="7A902660"/>
    <w:rsid w:val="7AD534FE"/>
    <w:rsid w:val="7B3D315E"/>
    <w:rsid w:val="7B4F1F6F"/>
    <w:rsid w:val="7B686041"/>
    <w:rsid w:val="7B8D0B49"/>
    <w:rsid w:val="7BEF08AF"/>
    <w:rsid w:val="7C64635A"/>
    <w:rsid w:val="7C6B6AA0"/>
    <w:rsid w:val="7CAD4D82"/>
    <w:rsid w:val="7CDC2C32"/>
    <w:rsid w:val="7ECB4A15"/>
    <w:rsid w:val="7F15018B"/>
    <w:rsid w:val="7FFF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6E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ite" w:qFormat="1"/>
    <w:lsdException w:name="HTML Cod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6F7B86"/>
      <w:u w:val="none"/>
    </w:rPr>
  </w:style>
  <w:style w:type="character" w:styleId="a8">
    <w:name w:val="Emphasis"/>
    <w:basedOn w:val="a0"/>
    <w:qFormat/>
  </w:style>
  <w:style w:type="character" w:styleId="a9">
    <w:name w:val="Hyperlink"/>
    <w:basedOn w:val="a0"/>
    <w:qFormat/>
    <w:rPr>
      <w:color w:val="6F7B86"/>
      <w:u w:val="none"/>
    </w:rPr>
  </w:style>
  <w:style w:type="character" w:styleId="HTML">
    <w:name w:val="HTML Code"/>
    <w:basedOn w:val="a0"/>
    <w:qFormat/>
    <w:rPr>
      <w:rFonts w:ascii="Courier New" w:hAnsi="Courier New"/>
      <w:sz w:val="20"/>
    </w:rPr>
  </w:style>
  <w:style w:type="character" w:styleId="HTML0">
    <w:name w:val="HTML Cite"/>
    <w:basedOn w:val="a0"/>
    <w:qFormat/>
  </w:style>
  <w:style w:type="character" w:customStyle="1" w:styleId="one">
    <w:name w:val="one"/>
    <w:basedOn w:val="a0"/>
    <w:qFormat/>
    <w:rPr>
      <w:b/>
      <w:color w:val="1D63B3"/>
      <w:sz w:val="21"/>
      <w:szCs w:val="21"/>
    </w:rPr>
  </w:style>
  <w:style w:type="character" w:customStyle="1" w:styleId="two1">
    <w:name w:val="two1"/>
    <w:basedOn w:val="a0"/>
    <w:qFormat/>
    <w:rPr>
      <w:b/>
      <w:color w:val="1D63B3"/>
    </w:rPr>
  </w:style>
  <w:style w:type="character" w:customStyle="1" w:styleId="top3">
    <w:name w:val="top3"/>
    <w:basedOn w:val="a0"/>
    <w:qFormat/>
  </w:style>
  <w:style w:type="character" w:customStyle="1" w:styleId="one1">
    <w:name w:val="one1"/>
    <w:basedOn w:val="a0"/>
    <w:qFormat/>
    <w:rPr>
      <w:b/>
      <w:color w:val="1D63B3"/>
      <w:sz w:val="21"/>
      <w:szCs w:val="21"/>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a">
    <w:name w:val="Balloon Text"/>
    <w:basedOn w:val="a"/>
    <w:link w:val="Char1"/>
    <w:rsid w:val="00B82DF3"/>
    <w:rPr>
      <w:sz w:val="18"/>
      <w:szCs w:val="18"/>
    </w:rPr>
  </w:style>
  <w:style w:type="character" w:customStyle="1" w:styleId="Char1">
    <w:name w:val="批注框文本 Char"/>
    <w:basedOn w:val="a0"/>
    <w:link w:val="aa"/>
    <w:rsid w:val="00B82DF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ite" w:qFormat="1"/>
    <w:lsdException w:name="HTML Cod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6F7B86"/>
      <w:u w:val="none"/>
    </w:rPr>
  </w:style>
  <w:style w:type="character" w:styleId="a8">
    <w:name w:val="Emphasis"/>
    <w:basedOn w:val="a0"/>
    <w:qFormat/>
  </w:style>
  <w:style w:type="character" w:styleId="a9">
    <w:name w:val="Hyperlink"/>
    <w:basedOn w:val="a0"/>
    <w:qFormat/>
    <w:rPr>
      <w:color w:val="6F7B86"/>
      <w:u w:val="none"/>
    </w:rPr>
  </w:style>
  <w:style w:type="character" w:styleId="HTML">
    <w:name w:val="HTML Code"/>
    <w:basedOn w:val="a0"/>
    <w:qFormat/>
    <w:rPr>
      <w:rFonts w:ascii="Courier New" w:hAnsi="Courier New"/>
      <w:sz w:val="20"/>
    </w:rPr>
  </w:style>
  <w:style w:type="character" w:styleId="HTML0">
    <w:name w:val="HTML Cite"/>
    <w:basedOn w:val="a0"/>
    <w:qFormat/>
  </w:style>
  <w:style w:type="character" w:customStyle="1" w:styleId="one">
    <w:name w:val="one"/>
    <w:basedOn w:val="a0"/>
    <w:qFormat/>
    <w:rPr>
      <w:b/>
      <w:color w:val="1D63B3"/>
      <w:sz w:val="21"/>
      <w:szCs w:val="21"/>
    </w:rPr>
  </w:style>
  <w:style w:type="character" w:customStyle="1" w:styleId="two1">
    <w:name w:val="two1"/>
    <w:basedOn w:val="a0"/>
    <w:qFormat/>
    <w:rPr>
      <w:b/>
      <w:color w:val="1D63B3"/>
    </w:rPr>
  </w:style>
  <w:style w:type="character" w:customStyle="1" w:styleId="top3">
    <w:name w:val="top3"/>
    <w:basedOn w:val="a0"/>
    <w:qFormat/>
  </w:style>
  <w:style w:type="character" w:customStyle="1" w:styleId="one1">
    <w:name w:val="one1"/>
    <w:basedOn w:val="a0"/>
    <w:qFormat/>
    <w:rPr>
      <w:b/>
      <w:color w:val="1D63B3"/>
      <w:sz w:val="21"/>
      <w:szCs w:val="21"/>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a">
    <w:name w:val="Balloon Text"/>
    <w:basedOn w:val="a"/>
    <w:link w:val="Char1"/>
    <w:rsid w:val="00B82DF3"/>
    <w:rPr>
      <w:sz w:val="18"/>
      <w:szCs w:val="18"/>
    </w:rPr>
  </w:style>
  <w:style w:type="character" w:customStyle="1" w:styleId="Char1">
    <w:name w:val="批注框文本 Char"/>
    <w:basedOn w:val="a0"/>
    <w:link w:val="aa"/>
    <w:rsid w:val="00B82DF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F6BB6A-A6D5-4B09-AC26-8E5C4E77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4294948580</TotalTime>
  <Pages>14</Pages>
  <Words>5762</Words>
  <Characters>298</Characters>
  <Application>Microsoft Office Word</Application>
  <DocSecurity>0</DocSecurity>
  <Lines>2</Lines>
  <Paragraphs>12</Paragraphs>
  <ScaleCrop>false</ScaleCrop>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jing</cp:lastModifiedBy>
  <cp:revision>4</cp:revision>
  <cp:lastPrinted>2022-04-13T04:03:00Z</cp:lastPrinted>
  <dcterms:created xsi:type="dcterms:W3CDTF">2022-04-13T17:18:00Z</dcterms:created>
  <dcterms:modified xsi:type="dcterms:W3CDTF">2022-04-14T09:02:00Z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2E132C2E321A4658B235F71A9E3EE77E</vt:lpwstr>
  </property>
</Properties>
</file>