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xml" ContentType="application/vnd.openxmlformats-officedocument.drawingml.chart+xml"/>
  <Override PartName="/word/charts/chart30.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微软雅黑" w:hAnsi="微软雅黑"/>
          <w:b/>
          <w:sz w:val="44"/>
          <w:szCs w:val="44"/>
        </w:rPr>
      </w:pPr>
      <w:bookmarkStart w:id="0" w:name="_Toc364026642"/>
      <w:bookmarkStart w:id="32" w:name="_GoBack"/>
      <w:bookmarkEnd w:id="32"/>
      <w:r>
        <w:rPr>
          <w:rFonts w:hint="eastAsia" w:ascii="微软雅黑" w:hAnsi="微软雅黑"/>
          <w:b/>
          <w:sz w:val="44"/>
          <w:szCs w:val="44"/>
        </w:rPr>
        <w:t>瑞安市慢性病社会影响因素调查报告</w:t>
      </w:r>
    </w:p>
    <w:p>
      <w:pPr>
        <w:pStyle w:val="10"/>
        <w:spacing w:before="0" w:after="0" w:line="400" w:lineRule="exact"/>
        <w:rPr>
          <w:rFonts w:ascii="微软雅黑" w:hAnsi="微软雅黑" w:eastAsia="微软雅黑" w:cs="Times New Roman"/>
          <w:sz w:val="36"/>
          <w:szCs w:val="36"/>
        </w:rPr>
      </w:pPr>
      <w:r>
        <w:rPr>
          <w:rFonts w:hint="eastAsia" w:ascii="微软雅黑" w:hAnsi="微软雅黑" w:eastAsia="微软雅黑" w:cs="Times New Roman"/>
          <w:sz w:val="36"/>
          <w:szCs w:val="36"/>
        </w:rPr>
        <w:t>一、背景</w:t>
      </w:r>
    </w:p>
    <w:p>
      <w:pPr>
        <w:spacing w:after="0" w:line="600" w:lineRule="exact"/>
        <w:ind w:firstLine="480" w:firstLineChars="200"/>
        <w:rPr>
          <w:rFonts w:ascii="宋体" w:hAnsi="宋体" w:eastAsia="宋体" w:cs="宋体"/>
          <w:sz w:val="24"/>
          <w:szCs w:val="24"/>
        </w:rPr>
      </w:pPr>
      <w:r>
        <w:rPr>
          <w:rFonts w:hint="eastAsia" w:ascii="宋体" w:hAnsi="宋体" w:eastAsia="宋体" w:cs="宋体"/>
          <w:sz w:val="24"/>
          <w:szCs w:val="24"/>
        </w:rPr>
        <w:t>伴随工业化、城镇化和老龄化的推进和生态环境、生活方式的改变，慢性非传染性疾病（简称“慢性病”）的发病和死亡呈快速上升趋势，已成为影响居民健康和生活质量的重要公共卫生问题。慢性病带来的负担和威胁是二十一世纪发展的主要挑战之一，中国居民慢性非传染性疾病死亡构成比从1990年的76.5%上升到2016年的87.8%，慢性病死亡占总死亡比例越来越大，成为影响居民健康的主要疾病。</w:t>
      </w:r>
    </w:p>
    <w:p>
      <w:pPr>
        <w:spacing w:after="0" w:line="600" w:lineRule="exact"/>
        <w:ind w:firstLine="480" w:firstLineChars="200"/>
        <w:rPr>
          <w:rFonts w:asciiTheme="minorEastAsia" w:hAnsiTheme="minorEastAsia" w:eastAsiaTheme="minorEastAsia"/>
          <w:color w:val="171A1D"/>
          <w:sz w:val="24"/>
          <w:szCs w:val="24"/>
          <w:shd w:val="clear" w:color="auto" w:fill="FFFFFF"/>
        </w:rPr>
      </w:pPr>
      <w:r>
        <w:rPr>
          <w:rFonts w:hint="eastAsia" w:cs="宋体" w:asciiTheme="minorEastAsia" w:hAnsiTheme="minorEastAsia" w:eastAsiaTheme="minorEastAsia"/>
          <w:sz w:val="24"/>
          <w:szCs w:val="24"/>
        </w:rPr>
        <w:t>2015年浙江省代谢综合征患病率调查结果显示全省18岁以上居民高血压、糖尿病患病率分别为26.72%、7.37%，超重、肥胖患病率分别为28.67%、7.55%。</w:t>
      </w:r>
      <w:r>
        <w:rPr>
          <w:rFonts w:hint="eastAsia" w:asciiTheme="minorEastAsia" w:hAnsiTheme="minorEastAsia" w:eastAsiaTheme="minorEastAsia"/>
          <w:color w:val="171A1D"/>
          <w:sz w:val="24"/>
          <w:szCs w:val="24"/>
          <w:shd w:val="clear" w:color="auto" w:fill="FFFFFF"/>
        </w:rPr>
        <w:t>2016年温州市慢性病流行病学调查结果发现，18岁以上居民高血压、糖尿病患病率分别25.73%、12.28%。2019年温州市慢性病流行病学调查结果发现，18岁以上居民高血压、糖尿病患病率分别为25.65、9.70%。</w:t>
      </w:r>
      <w:r>
        <w:rPr>
          <w:rFonts w:hint="eastAsia" w:cs="宋体" w:asciiTheme="minorEastAsia" w:hAnsiTheme="minorEastAsia" w:eastAsiaTheme="minorEastAsia"/>
          <w:sz w:val="24"/>
          <w:szCs w:val="24"/>
        </w:rPr>
        <w:t>2019年慢性病监测数据显示温州市慢性病死亡占所有死亡的87.27%。瑞安市慢性病防控形势同样不容乐观，2019年监测数据显示我市因慢性病死亡占所有死亡的88.57%。若不及时有效控制慢性病及其危险因素，将会制约瑞安市经济社会的可持续发展。</w:t>
      </w:r>
    </w:p>
    <w:p>
      <w:pPr>
        <w:spacing w:after="0" w:line="600" w:lineRule="exact"/>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为了解我市居民慢性病现状及影响因素，确定慢性病及其他的主要公共卫生问题，寻找造成这些问题的可能原因和影响因素，确定我市慢性病综合防治的健康优先问题与干预重点人群及因素，为综合防治效果评价提供基线数据，根据我市人口学特征、自然环境、经济状况、文化教育卫生状况等现有资料，开展慢性病各种监测及专题调查、同时收集社会学、流行病学和行为环境等资料，开展了慢性病社会影响因素调查，现报告如下。</w:t>
      </w:r>
    </w:p>
    <w:p>
      <w:pPr>
        <w:pStyle w:val="10"/>
        <w:spacing w:before="0" w:after="0" w:line="400" w:lineRule="exact"/>
        <w:jc w:val="left"/>
        <w:rPr>
          <w:rFonts w:ascii="宋体" w:hAnsi="宋体" w:eastAsia="宋体" w:cs="宋体"/>
          <w:b w:val="0"/>
          <w:bCs w:val="0"/>
          <w:kern w:val="0"/>
          <w:sz w:val="24"/>
          <w:szCs w:val="24"/>
        </w:rPr>
      </w:pPr>
    </w:p>
    <w:p>
      <w:pPr>
        <w:pStyle w:val="10"/>
        <w:spacing w:before="0" w:after="0" w:line="400" w:lineRule="exact"/>
        <w:ind w:firstLine="2521" w:firstLineChars="700"/>
        <w:jc w:val="left"/>
        <w:rPr>
          <w:rFonts w:ascii="微软雅黑" w:hAnsi="微软雅黑" w:eastAsia="微软雅黑" w:cs="Times New Roman"/>
          <w:sz w:val="36"/>
          <w:szCs w:val="36"/>
        </w:rPr>
      </w:pPr>
      <w:r>
        <w:rPr>
          <w:rFonts w:hint="eastAsia" w:ascii="微软雅黑" w:hAnsi="微软雅黑" w:eastAsia="微软雅黑" w:cs="Times New Roman"/>
          <w:sz w:val="36"/>
          <w:szCs w:val="36"/>
        </w:rPr>
        <w:t>二、瑞安市基本情况</w:t>
      </w:r>
    </w:p>
    <w:p>
      <w:pPr>
        <w:pStyle w:val="10"/>
        <w:spacing w:before="0" w:after="0" w:line="400" w:lineRule="exact"/>
        <w:rPr>
          <w:rFonts w:ascii="Times New Roman" w:hAnsi="宋体" w:cs="Times New Roman"/>
        </w:rPr>
      </w:pPr>
    </w:p>
    <w:p>
      <w:pPr>
        <w:pStyle w:val="10"/>
        <w:spacing w:before="0" w:after="0" w:line="400" w:lineRule="exact"/>
        <w:jc w:val="both"/>
        <w:rPr>
          <w:rFonts w:ascii="Times New Roman" w:hAnsi="Times New Roman" w:cs="Times New Roman"/>
          <w:sz w:val="24"/>
          <w:szCs w:val="24"/>
        </w:rPr>
      </w:pPr>
      <w:r>
        <w:rPr>
          <w:rFonts w:hint="eastAsia" w:ascii="Times New Roman" w:hAnsi="宋体"/>
          <w:kern w:val="0"/>
          <w:sz w:val="24"/>
          <w:szCs w:val="24"/>
        </w:rPr>
        <w:t>（一）辖区特点</w:t>
      </w:r>
    </w:p>
    <w:p>
      <w:pPr>
        <w:spacing w:line="520" w:lineRule="exact"/>
        <w:ind w:firstLine="480" w:firstLineChars="200"/>
        <w:rPr>
          <w:rFonts w:cs="Arial" w:asciiTheme="minorEastAsia" w:hAnsiTheme="minorEastAsia" w:eastAsiaTheme="minorEastAsia"/>
          <w:sz w:val="24"/>
          <w:szCs w:val="24"/>
          <w:shd w:val="clear" w:color="auto" w:fill="FFFFFF"/>
        </w:rPr>
      </w:pPr>
      <w:r>
        <w:rPr>
          <w:rFonts w:hint="eastAsia" w:cs="Arial" w:asciiTheme="minorEastAsia" w:hAnsiTheme="minorEastAsia" w:eastAsiaTheme="minorEastAsia"/>
          <w:sz w:val="24"/>
          <w:szCs w:val="24"/>
          <w:shd w:val="clear" w:color="auto" w:fill="FFFFFF"/>
        </w:rPr>
        <w:t>瑞安市，中国浙江省温州市代管县级市，位于中国黄金海岸线中段，地处上海经济区和厦漳泉金三角之间，属江南鱼米之乡，郭沫若曾为玉海楼题联“玉成桃李，海涌波澜”。瑞安陆域面积1271平方公里，海域面积3060平方公里，辖9个镇、2个乡、12个街道，2020年末瑞安市总户数34.11万户，户籍口径总人口125.92万人，除汉族外，还有畲、回等少数民族。本市汉族居民绝大多数属江浙民系，使用吴语瓯江片方言，通行吴语温州话。1987年瑞安市被国务院确定为首批14个沿海经济开发区之一，为中国农村综合经济实力百强县（市）之一、浙江省小康县（市）、浙江省重要的现代工贸城市和历史文化名城。2017年6月，瑞安市被命名国家卫生城市。2020年瑞安市上榜“中国百强（市）”，位列第43位，排名较上年上升23位，首次入围50强。</w:t>
      </w:r>
    </w:p>
    <w:p>
      <w:pPr>
        <w:spacing w:line="520" w:lineRule="exact"/>
        <w:rPr>
          <w:rFonts w:ascii="Times New Roman" w:hAnsi="宋体" w:cs="Arial" w:eastAsiaTheme="minorEastAsia"/>
          <w:b/>
          <w:bCs/>
          <w:sz w:val="24"/>
          <w:szCs w:val="24"/>
        </w:rPr>
      </w:pPr>
      <w:r>
        <w:rPr>
          <w:rFonts w:hint="eastAsia" w:ascii="Times New Roman" w:hAnsi="宋体" w:cs="Arial" w:eastAsiaTheme="minorEastAsia"/>
          <w:b/>
          <w:bCs/>
          <w:sz w:val="24"/>
          <w:szCs w:val="24"/>
        </w:rPr>
        <w:t>（二）自然环境</w:t>
      </w:r>
    </w:p>
    <w:p>
      <w:pPr>
        <w:spacing w:line="520" w:lineRule="exact"/>
        <w:ind w:firstLine="480" w:firstLineChars="200"/>
        <w:rPr>
          <w:rFonts w:cs="Arial" w:asciiTheme="minorEastAsia" w:hAnsiTheme="minorEastAsia" w:eastAsiaTheme="minorEastAsia"/>
          <w:sz w:val="24"/>
          <w:szCs w:val="24"/>
          <w:shd w:val="clear" w:color="auto" w:fill="FFFFFF"/>
        </w:rPr>
      </w:pPr>
      <w:r>
        <w:rPr>
          <w:rFonts w:hint="eastAsia" w:asciiTheme="minorEastAsia" w:hAnsiTheme="minorEastAsia"/>
          <w:b/>
          <w:sz w:val="24"/>
          <w:szCs w:val="24"/>
        </w:rPr>
        <w:t xml:space="preserve"> </w:t>
      </w:r>
      <w:r>
        <w:rPr>
          <w:rFonts w:hint="eastAsia" w:cs="Arial" w:asciiTheme="minorEastAsia" w:hAnsiTheme="minorEastAsia" w:eastAsiaTheme="minorEastAsia"/>
          <w:sz w:val="24"/>
          <w:szCs w:val="24"/>
          <w:shd w:val="clear" w:color="auto" w:fill="FFFFFF"/>
        </w:rPr>
        <w:t>作为“中国优秀旅游城市”，瑞安山水奇特，风光旖旎，属旅游资源大市。瑞安名胜古迹众多，境内已发现史前遗址和各类文物史迹600处。拥有七大风景名胜区：寨寮溪、圣井山、梅龙溪、桐溪、铜盘岛、龙井、卧龙峡；十大旅游区点：水乡古镇林垟、玉海文化游览区、江溪龙潭、白岩山、金鸡山、隆山公园、山皇古寨、尖山八水、顺泰梅尖、瑞安外滩；四处国家级重点文物保护单位：玉海楼、石棚墓、利济医学堂、圣井山石殿；一处国家级森林公园——花岩。全市现有七家星级旅游饭店，九家旅行社，十六家旅游推荐单位，并开发都市休闲游、山海生态游、文化考察游、经济探密游等路线。瑞安市，全年无严寒酷暑，冬短夏长，四季分明，雨水充沛。全境所处纬度较低，又受海洋影响，温度条件为全省最佳。境内常年平均气温17.9℃，北麂等海岛略低，为17.5℃，海拔400-800米的山区稍低，在14℃-16℃之间。瑞安季风气候明显，夏季多东南偏东风，冬季多西北偏西风，年均风速1.9米/秒，瞬时最大风速16米/秒。</w:t>
      </w:r>
    </w:p>
    <w:p>
      <w:pPr>
        <w:spacing w:line="520" w:lineRule="exact"/>
        <w:rPr>
          <w:rFonts w:ascii="Times New Roman" w:hAnsi="宋体" w:cs="Arial" w:eastAsiaTheme="minorEastAsia"/>
          <w:b/>
          <w:bCs/>
          <w:sz w:val="24"/>
          <w:szCs w:val="24"/>
        </w:rPr>
      </w:pPr>
      <w:r>
        <w:rPr>
          <w:rFonts w:hint="eastAsia" w:ascii="Times New Roman" w:hAnsi="宋体" w:cs="Arial" w:eastAsiaTheme="minorEastAsia"/>
          <w:b/>
          <w:bCs/>
          <w:sz w:val="24"/>
          <w:szCs w:val="24"/>
        </w:rPr>
        <w:t>（三）人口学特征（数据来源于2021年瑞安年鉴）</w:t>
      </w:r>
    </w:p>
    <w:p>
      <w:pPr>
        <w:spacing w:line="520" w:lineRule="exact"/>
        <w:ind w:firstLine="470" w:firstLineChars="196"/>
        <w:rPr>
          <w:rFonts w:ascii="Times New Roman" w:hAnsi="宋体" w:cs="Arial" w:eastAsiaTheme="minorEastAsia"/>
          <w:b/>
          <w:bCs/>
          <w:sz w:val="24"/>
          <w:szCs w:val="24"/>
        </w:rPr>
      </w:pPr>
      <w:r>
        <w:rPr>
          <w:rFonts w:hint="eastAsia" w:cs="Arial" w:asciiTheme="minorEastAsia" w:hAnsiTheme="minorEastAsia" w:eastAsiaTheme="minorEastAsia"/>
          <w:sz w:val="24"/>
          <w:szCs w:val="24"/>
          <w:shd w:val="clear" w:color="auto" w:fill="FFFFFF"/>
        </w:rPr>
        <w:t>瑞安市目前总户数为341136户，总人口1259247人，其中男性644692,女性613510人，男女性别比为105.08。60岁以上250137人，占总人口的19.87%。人口老龄化继续加重。 2020年全市出生10738人，死亡6716人，死亡率为千分之5.33，比上年下降千分之0.14.</w:t>
      </w:r>
    </w:p>
    <w:p>
      <w:pPr>
        <w:spacing w:line="520" w:lineRule="exact"/>
        <w:rPr>
          <w:rFonts w:ascii="Times New Roman" w:hAnsi="宋体" w:cs="Arial" w:eastAsiaTheme="minorEastAsia"/>
          <w:b/>
          <w:bCs/>
          <w:sz w:val="24"/>
          <w:szCs w:val="24"/>
        </w:rPr>
      </w:pPr>
      <w:r>
        <w:rPr>
          <w:rFonts w:hint="eastAsia" w:ascii="Times New Roman" w:hAnsi="宋体" w:cs="Arial" w:eastAsiaTheme="minorEastAsia"/>
          <w:b/>
          <w:bCs/>
          <w:sz w:val="24"/>
          <w:szCs w:val="24"/>
        </w:rPr>
        <w:t>（四）经济状况（数据来源于2021年瑞安年鉴）</w:t>
      </w:r>
    </w:p>
    <w:p>
      <w:pPr>
        <w:spacing w:line="520" w:lineRule="exact"/>
        <w:ind w:firstLine="480" w:firstLineChars="200"/>
        <w:rPr>
          <w:rFonts w:cs="Arial" w:asciiTheme="minorEastAsia" w:hAnsiTheme="minorEastAsia" w:eastAsiaTheme="minorEastAsia"/>
          <w:sz w:val="24"/>
          <w:szCs w:val="24"/>
          <w:shd w:val="clear" w:color="auto" w:fill="FFFFFF"/>
        </w:rPr>
      </w:pPr>
      <w:r>
        <w:rPr>
          <w:rFonts w:hint="eastAsia" w:cs="Arial" w:asciiTheme="minorEastAsia" w:hAnsiTheme="minorEastAsia" w:eastAsiaTheme="minorEastAsia"/>
          <w:sz w:val="24"/>
          <w:szCs w:val="24"/>
          <w:shd w:val="clear" w:color="auto" w:fill="FFFFFF"/>
        </w:rPr>
        <w:t>瑞安市地区生产总值达1037.1亿元，比上年增长3.3%。全市财政总收入127.56亿元，其中一般公共预算收入81.91亿元，增长2.8%；瑞安市在捆绑攻坚中顺势而为，争来改革发展新红利，新增国家和省级改革试点6项，列入国家和省级重大平台创建5个。创成领先领跑新样板，8项工作入选《领跑者》等改革刊物，7个省市现场会在瑞安召开，获评6项国家级荣誉。</w:t>
      </w:r>
    </w:p>
    <w:p>
      <w:pPr>
        <w:spacing w:line="520" w:lineRule="exact"/>
        <w:rPr>
          <w:rFonts w:ascii="Times New Roman" w:hAnsi="宋体" w:cs="Arial" w:eastAsiaTheme="minorEastAsia"/>
          <w:b/>
          <w:bCs/>
          <w:sz w:val="24"/>
          <w:szCs w:val="24"/>
        </w:rPr>
      </w:pPr>
      <w:r>
        <w:rPr>
          <w:rFonts w:hint="eastAsia" w:ascii="Times New Roman" w:hAnsi="宋体" w:cs="Arial" w:eastAsiaTheme="minorEastAsia"/>
          <w:b/>
          <w:bCs/>
          <w:sz w:val="24"/>
          <w:szCs w:val="24"/>
        </w:rPr>
        <w:t>（五</w:t>
      </w:r>
      <w:r>
        <w:rPr>
          <w:rFonts w:ascii="Times New Roman" w:hAnsi="宋体" w:cs="Arial" w:eastAsiaTheme="minorEastAsia"/>
          <w:b/>
          <w:bCs/>
          <w:sz w:val="24"/>
          <w:szCs w:val="24"/>
        </w:rPr>
        <w:t>)</w:t>
      </w:r>
      <w:r>
        <w:rPr>
          <w:rFonts w:hint="eastAsia" w:ascii="Times New Roman" w:hAnsi="宋体" w:cs="Arial" w:eastAsiaTheme="minorEastAsia"/>
          <w:b/>
          <w:bCs/>
          <w:sz w:val="24"/>
          <w:szCs w:val="24"/>
        </w:rPr>
        <w:t>文化教育卫生状况（数据来源于2021年瑞安年鉴）</w:t>
      </w:r>
    </w:p>
    <w:p>
      <w:pPr>
        <w:spacing w:line="600" w:lineRule="exact"/>
        <w:ind w:firstLine="480" w:firstLineChars="200"/>
        <w:rPr>
          <w:rFonts w:cs="Arial" w:asciiTheme="minorEastAsia" w:hAnsiTheme="minorEastAsia" w:eastAsiaTheme="minorEastAsia"/>
          <w:sz w:val="24"/>
          <w:szCs w:val="24"/>
          <w:shd w:val="clear" w:color="auto" w:fill="FFFFFF"/>
        </w:rPr>
      </w:pPr>
      <w:r>
        <w:rPr>
          <w:rFonts w:hint="eastAsia" w:cs="Arial" w:asciiTheme="minorEastAsia" w:hAnsiTheme="minorEastAsia" w:eastAsiaTheme="minorEastAsia"/>
          <w:sz w:val="24"/>
          <w:szCs w:val="24"/>
          <w:shd w:val="clear" w:color="auto" w:fill="FFFFFF"/>
        </w:rPr>
        <w:t>瑞安市文化广电新闻出版局机关内设7个科室，下辖参公单位1家，事业单位6家。在编在职员工118人，其中局机关在编人员16名（含广播电视台3名）。参公事业单位在编人员27人，全额事业单位在编人员75人。拥有专技人员68人，其中高级职称有8人。2018年，完成公园路（中义街）传统历史文化街区二期工程，2019年元旦全面开街。2018年，建成市政府、市委党校、行政服务中心、东山街道、莘塍街道、云周街道、平阳坑镇、林川镇、祥和社区、桃源社区等10家城市书房（百姓书屋）。全年共组织开展各类基层文艺活动622余场、讲座展览180场，送书下乡1.5万册，送电影下乡8680场，举办各类公益培训班200多场，受训人员超过5000人，开展县域间“文化走亲”活动7场，接待走亲访友,4场。组建乡村艺术团51支，开展送下乡活动78场；瑞安市有各级各类学校370所，普通高中14所（含2所综合高中），中等职业学校5所，初中（含九年一贯制）49所，小学83所，特殊教育学校1所，幼儿园218所。市财政安排教育资金35.93亿元，同比提高11.79%；全市有医疗卫生机构839家，核定床位3553张，实际开放床位4691张。全市有执业（助理）医师4370人，注册护士（师）3859人，具有高级职称763人。按户籍人口（125.82万人）计算，平均每千人拥有病床数3.73张，执业(助理)医师数3.47人，注册护士数3.07人.全市公立医疗机构完成综合门诊量8011325人次，出院114867人次，卫生事业经费16.89亿元，占财政支出16.29%。</w:t>
      </w:r>
    </w:p>
    <w:p>
      <w:pPr>
        <w:pStyle w:val="10"/>
        <w:spacing w:before="0" w:after="0" w:line="360" w:lineRule="auto"/>
        <w:rPr>
          <w:rFonts w:ascii="微软雅黑" w:hAnsi="微软雅黑" w:eastAsia="微软雅黑" w:cs="Times New Roman"/>
          <w:sz w:val="36"/>
          <w:szCs w:val="36"/>
        </w:rPr>
      </w:pPr>
      <w:r>
        <w:rPr>
          <w:rFonts w:hint="eastAsia" w:ascii="微软雅黑" w:hAnsi="微软雅黑" w:eastAsia="微软雅黑" w:cs="Times New Roman"/>
          <w:sz w:val="36"/>
          <w:szCs w:val="36"/>
        </w:rPr>
        <w:t>三</w:t>
      </w:r>
      <w:r>
        <w:rPr>
          <w:rFonts w:ascii="微软雅黑" w:hAnsi="微软雅黑" w:eastAsia="微软雅黑" w:cs="Times New Roman"/>
          <w:sz w:val="36"/>
          <w:szCs w:val="36"/>
        </w:rPr>
        <w:t>、</w:t>
      </w:r>
      <w:bookmarkEnd w:id="0"/>
      <w:r>
        <w:rPr>
          <w:rFonts w:ascii="微软雅黑" w:hAnsi="微软雅黑" w:eastAsia="微软雅黑" w:cs="Times New Roman"/>
          <w:sz w:val="36"/>
          <w:szCs w:val="36"/>
        </w:rPr>
        <w:t>资料来源与</w:t>
      </w:r>
      <w:r>
        <w:rPr>
          <w:rFonts w:hint="eastAsia" w:ascii="微软雅黑" w:hAnsi="微软雅黑" w:eastAsia="微软雅黑" w:cs="Times New Roman"/>
          <w:sz w:val="36"/>
          <w:szCs w:val="36"/>
        </w:rPr>
        <w:t>方法</w:t>
      </w:r>
    </w:p>
    <w:p>
      <w:pPr>
        <w:spacing w:line="360" w:lineRule="auto"/>
        <w:rPr>
          <w:rFonts w:asciiTheme="minorEastAsia" w:hAnsiTheme="minorEastAsia" w:eastAsiaTheme="minorEastAsia"/>
          <w:b/>
          <w:sz w:val="32"/>
          <w:szCs w:val="32"/>
        </w:rPr>
      </w:pPr>
      <w:r>
        <w:rPr>
          <w:rFonts w:asciiTheme="minorEastAsia" w:hAnsiTheme="minorEastAsia" w:eastAsiaTheme="minorEastAsia"/>
          <w:b/>
          <w:sz w:val="32"/>
          <w:szCs w:val="32"/>
        </w:rPr>
        <w:t>（一）现有资料</w:t>
      </w:r>
    </w:p>
    <w:p>
      <w:pPr>
        <w:spacing w:after="0" w:line="360" w:lineRule="auto"/>
        <w:rPr>
          <w:rFonts w:asciiTheme="minorEastAsia" w:hAnsiTheme="minorEastAsia" w:eastAsiaTheme="minorEastAsia"/>
          <w:b/>
          <w:sz w:val="28"/>
          <w:szCs w:val="28"/>
        </w:rPr>
      </w:pPr>
      <w:r>
        <w:rPr>
          <w:rFonts w:asciiTheme="minorEastAsia" w:hAnsiTheme="minorEastAsia" w:eastAsiaTheme="minorEastAsia"/>
          <w:b/>
          <w:sz w:val="28"/>
          <w:szCs w:val="28"/>
        </w:rPr>
        <w:t>1. 辖区基本情况</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（1）辖区特点、自然环境、</w:t>
      </w:r>
      <w:r>
        <w:rPr>
          <w:rFonts w:hint="eastAsia" w:asciiTheme="minorEastAsia" w:hAnsiTheme="minorEastAsia" w:eastAsiaTheme="minorEastAsia"/>
          <w:sz w:val="24"/>
          <w:szCs w:val="24"/>
        </w:rPr>
        <w:t>社会</w:t>
      </w:r>
      <w:r>
        <w:rPr>
          <w:rFonts w:asciiTheme="minorEastAsia" w:hAnsiTheme="minorEastAsia" w:eastAsiaTheme="minorEastAsia"/>
          <w:sz w:val="24"/>
          <w:szCs w:val="24"/>
        </w:rPr>
        <w:t>经济状况、文化教育卫生状况来源于</w:t>
      </w:r>
      <w:r>
        <w:rPr>
          <w:rFonts w:hint="eastAsia" w:asciiTheme="minorEastAsia" w:hAnsiTheme="minorEastAsia" w:eastAsiaTheme="minorEastAsia"/>
          <w:sz w:val="24"/>
          <w:szCs w:val="24"/>
        </w:rPr>
        <w:t>2019年/2020年瑞安市</w:t>
      </w:r>
      <w:r>
        <w:rPr>
          <w:rFonts w:asciiTheme="minorEastAsia" w:hAnsiTheme="minorEastAsia" w:eastAsiaTheme="minorEastAsia"/>
          <w:sz w:val="24"/>
          <w:szCs w:val="24"/>
        </w:rPr>
        <w:t>政府工作报告</w:t>
      </w:r>
      <w:r>
        <w:rPr>
          <w:rFonts w:hint="eastAsia" w:asciiTheme="minorEastAsia" w:hAnsiTheme="minorEastAsia" w:eastAsiaTheme="minorEastAsia"/>
          <w:sz w:val="24"/>
          <w:szCs w:val="24"/>
        </w:rPr>
        <w:t>、市教育局、市卫健局工作汇报材料，市</w:t>
      </w:r>
      <w:r>
        <w:rPr>
          <w:rFonts w:asciiTheme="minorEastAsia" w:hAnsiTheme="minorEastAsia" w:eastAsiaTheme="minorEastAsia"/>
          <w:sz w:val="24"/>
          <w:szCs w:val="24"/>
        </w:rPr>
        <w:t>统计局</w:t>
      </w:r>
      <w:r>
        <w:rPr>
          <w:rFonts w:hint="eastAsia" w:asciiTheme="minorEastAsia" w:hAnsiTheme="minorEastAsia" w:eastAsiaTheme="minorEastAsia"/>
          <w:sz w:val="24"/>
          <w:szCs w:val="24"/>
        </w:rPr>
        <w:t>2019瑞安市</w:t>
      </w:r>
      <w:r>
        <w:rPr>
          <w:rFonts w:asciiTheme="minorEastAsia" w:hAnsiTheme="minorEastAsia" w:eastAsiaTheme="minorEastAsia"/>
          <w:sz w:val="24"/>
          <w:szCs w:val="24"/>
        </w:rPr>
        <w:t>统计年鉴、国民经济和社会发展统计公报。</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（2）人口学特征：来源于瑞安市公安局2019年瑞安市户籍人口及其变动情况统计年报表、百岁年龄统计表。</w:t>
      </w:r>
    </w:p>
    <w:p>
      <w:pPr>
        <w:spacing w:after="0"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2.辖区疾病谱特点</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期望寿命、</w:t>
      </w:r>
      <w:r>
        <w:rPr>
          <w:rFonts w:asciiTheme="minorEastAsia" w:hAnsiTheme="minorEastAsia" w:eastAsiaTheme="minorEastAsia"/>
          <w:sz w:val="24"/>
          <w:szCs w:val="24"/>
        </w:rPr>
        <w:t>死亡率、</w:t>
      </w:r>
      <w:r>
        <w:rPr>
          <w:rFonts w:hint="eastAsia" w:asciiTheme="minorEastAsia" w:hAnsiTheme="minorEastAsia" w:eastAsiaTheme="minorEastAsia"/>
          <w:sz w:val="24"/>
          <w:szCs w:val="24"/>
        </w:rPr>
        <w:t>死因构成和死因顺位、主要慢性病死亡率、</w:t>
      </w:r>
      <w:r>
        <w:rPr>
          <w:rFonts w:asciiTheme="minorEastAsia" w:hAnsiTheme="minorEastAsia" w:eastAsiaTheme="minorEastAsia"/>
          <w:sz w:val="24"/>
          <w:szCs w:val="24"/>
        </w:rPr>
        <w:t>发病率</w:t>
      </w:r>
      <w:r>
        <w:rPr>
          <w:rFonts w:hint="eastAsia" w:asciiTheme="minorEastAsia" w:hAnsiTheme="minorEastAsia" w:eastAsiaTheme="minorEastAsia"/>
          <w:sz w:val="24"/>
          <w:szCs w:val="24"/>
        </w:rPr>
        <w:t>：来源于瑞安市疾控中心20</w:t>
      </w:r>
      <w:r>
        <w:rPr>
          <w:rFonts w:asciiTheme="minorEastAsia" w:hAnsiTheme="minorEastAsia" w:eastAsiaTheme="minorEastAsia"/>
          <w:sz w:val="24"/>
          <w:szCs w:val="24"/>
        </w:rPr>
        <w:t>19</w:t>
      </w:r>
      <w:r>
        <w:rPr>
          <w:rFonts w:hint="eastAsia" w:asciiTheme="minorEastAsia" w:hAnsiTheme="minorEastAsia" w:eastAsiaTheme="minorEastAsia"/>
          <w:sz w:val="24"/>
          <w:szCs w:val="24"/>
        </w:rPr>
        <w:t>年瑞安市死亡和慢性病监测年度报告。</w:t>
      </w:r>
    </w:p>
    <w:p>
      <w:pPr>
        <w:widowControl w:val="0"/>
        <w:numPr>
          <w:ilvl w:val="0"/>
          <w:numId w:val="1"/>
        </w:numPr>
        <w:adjustRightInd/>
        <w:snapToGrid/>
        <w:spacing w:after="0"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慢性病危险因素现状</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w:t>
      </w:r>
      <w:r>
        <w:rPr>
          <w:rFonts w:hint="eastAsia" w:asciiTheme="minorEastAsia" w:hAnsiTheme="minorEastAsia" w:eastAsiaTheme="minorEastAsia"/>
          <w:sz w:val="24"/>
          <w:szCs w:val="24"/>
        </w:rPr>
        <w:t>居民健康素养可来源于2019年瑞安市健康素养调查</w:t>
      </w:r>
      <w:r>
        <w:rPr>
          <w:rFonts w:asciiTheme="minorEastAsia" w:hAnsiTheme="minorEastAsia" w:eastAsiaTheme="minorEastAsia"/>
          <w:sz w:val="24"/>
          <w:szCs w:val="24"/>
        </w:rPr>
        <w:t>报告</w:t>
      </w:r>
      <w:r>
        <w:rPr>
          <w:rFonts w:hint="eastAsia" w:asciiTheme="minorEastAsia" w:hAnsiTheme="minorEastAsia" w:eastAsiaTheme="minorEastAsia"/>
          <w:sz w:val="24"/>
          <w:szCs w:val="24"/>
        </w:rPr>
        <w:t>。</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2</w:t>
      </w:r>
      <w:r>
        <w:rPr>
          <w:rFonts w:asciiTheme="minorEastAsia" w:hAnsiTheme="minorEastAsia" w:eastAsiaTheme="minorEastAsia"/>
          <w:sz w:val="24"/>
          <w:szCs w:val="24"/>
        </w:rPr>
        <w:t>）就诊率、医疗费用来源于</w:t>
      </w:r>
      <w:r>
        <w:rPr>
          <w:rFonts w:hint="eastAsia" w:asciiTheme="minorEastAsia" w:hAnsiTheme="minorEastAsia" w:eastAsiaTheme="minorEastAsia"/>
          <w:sz w:val="24"/>
          <w:szCs w:val="24"/>
        </w:rPr>
        <w:t>市</w:t>
      </w:r>
      <w:r>
        <w:rPr>
          <w:rFonts w:asciiTheme="minorEastAsia" w:hAnsiTheme="minorEastAsia" w:eastAsiaTheme="minorEastAsia"/>
          <w:sz w:val="24"/>
          <w:szCs w:val="24"/>
        </w:rPr>
        <w:t>统计局</w:t>
      </w:r>
      <w:r>
        <w:rPr>
          <w:rFonts w:hint="eastAsia" w:asciiTheme="minorEastAsia" w:hAnsiTheme="minorEastAsia" w:eastAsiaTheme="minorEastAsia"/>
          <w:sz w:val="24"/>
          <w:szCs w:val="24"/>
        </w:rPr>
        <w:t>2019年</w:t>
      </w:r>
      <w:r>
        <w:rPr>
          <w:rFonts w:asciiTheme="minorEastAsia" w:hAnsiTheme="minorEastAsia" w:eastAsiaTheme="minorEastAsia"/>
          <w:sz w:val="24"/>
          <w:szCs w:val="24"/>
        </w:rPr>
        <w:t>统计年鉴、</w:t>
      </w:r>
      <w:r>
        <w:rPr>
          <w:rFonts w:hint="eastAsia" w:asciiTheme="minorEastAsia" w:hAnsiTheme="minorEastAsia" w:eastAsiaTheme="minorEastAsia"/>
          <w:sz w:val="24"/>
          <w:szCs w:val="24"/>
        </w:rPr>
        <w:t>市卫健局2019年医疗费用年度分析报告。</w:t>
      </w:r>
    </w:p>
    <w:p>
      <w:pPr>
        <w:spacing w:after="0"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4.现有的卫生、慢病防治政策</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（1）慢性病防控有关政策现状：来源于市政府、市卫健局相关文件</w:t>
      </w:r>
      <w:r>
        <w:rPr>
          <w:rFonts w:asciiTheme="minorEastAsia" w:hAnsiTheme="minorEastAsia" w:eastAsiaTheme="minorEastAsia"/>
          <w:sz w:val="24"/>
          <w:szCs w:val="24"/>
        </w:rPr>
        <w:t>。</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（2）慢性病防控经费情况：来源于市财政局、市卫健局、市疾控中心等单位年度预算决算表。</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与慢性病防控有关的不同部门和机构的工作职责、内容、人员配备情况</w:t>
      </w:r>
      <w:r>
        <w:rPr>
          <w:rFonts w:hint="eastAsia" w:asciiTheme="minorEastAsia" w:hAnsiTheme="minorEastAsia" w:eastAsiaTheme="minorEastAsia"/>
          <w:sz w:val="24"/>
          <w:szCs w:val="24"/>
        </w:rPr>
        <w:t>来源于市</w:t>
      </w:r>
      <w:r>
        <w:rPr>
          <w:rFonts w:asciiTheme="minorEastAsia" w:hAnsiTheme="minorEastAsia" w:eastAsiaTheme="minorEastAsia"/>
          <w:sz w:val="24"/>
          <w:szCs w:val="24"/>
        </w:rPr>
        <w:t>慢</w:t>
      </w:r>
      <w:r>
        <w:rPr>
          <w:rFonts w:hint="eastAsia" w:asciiTheme="minorEastAsia" w:hAnsiTheme="minorEastAsia" w:eastAsiaTheme="minorEastAsia"/>
          <w:sz w:val="24"/>
          <w:szCs w:val="24"/>
        </w:rPr>
        <w:t>性</w:t>
      </w:r>
      <w:r>
        <w:rPr>
          <w:rFonts w:asciiTheme="minorEastAsia" w:hAnsiTheme="minorEastAsia" w:eastAsiaTheme="minorEastAsia"/>
          <w:sz w:val="24"/>
          <w:szCs w:val="24"/>
        </w:rPr>
        <w:t>病防治</w:t>
      </w:r>
      <w:r>
        <w:rPr>
          <w:rFonts w:hint="eastAsia" w:asciiTheme="minorEastAsia" w:hAnsiTheme="minorEastAsia" w:eastAsiaTheme="minorEastAsia"/>
          <w:sz w:val="24"/>
          <w:szCs w:val="24"/>
        </w:rPr>
        <w:t>中长期</w:t>
      </w:r>
      <w:r>
        <w:rPr>
          <w:rFonts w:asciiTheme="minorEastAsia" w:hAnsiTheme="minorEastAsia" w:eastAsiaTheme="minorEastAsia"/>
          <w:sz w:val="24"/>
          <w:szCs w:val="24"/>
        </w:rPr>
        <w:t>规划、慢</w:t>
      </w:r>
      <w:r>
        <w:rPr>
          <w:rFonts w:hint="eastAsia" w:asciiTheme="minorEastAsia" w:hAnsiTheme="minorEastAsia" w:eastAsiaTheme="minorEastAsia"/>
          <w:sz w:val="24"/>
          <w:szCs w:val="24"/>
        </w:rPr>
        <w:t>性</w:t>
      </w:r>
      <w:r>
        <w:rPr>
          <w:rFonts w:asciiTheme="minorEastAsia" w:hAnsiTheme="minorEastAsia" w:eastAsiaTheme="minorEastAsia"/>
          <w:sz w:val="24"/>
          <w:szCs w:val="24"/>
        </w:rPr>
        <w:t>病</w:t>
      </w:r>
      <w:r>
        <w:rPr>
          <w:rFonts w:hint="eastAsia" w:asciiTheme="minorEastAsia" w:hAnsiTheme="minorEastAsia" w:eastAsiaTheme="minorEastAsia"/>
          <w:sz w:val="24"/>
          <w:szCs w:val="24"/>
        </w:rPr>
        <w:t>综合</w:t>
      </w:r>
      <w:r>
        <w:rPr>
          <w:rFonts w:asciiTheme="minorEastAsia" w:hAnsiTheme="minorEastAsia" w:eastAsiaTheme="minorEastAsia"/>
          <w:sz w:val="24"/>
          <w:szCs w:val="24"/>
        </w:rPr>
        <w:t>防控示范区</w:t>
      </w:r>
      <w:r>
        <w:rPr>
          <w:rFonts w:hint="eastAsia" w:asciiTheme="minorEastAsia" w:hAnsiTheme="minorEastAsia" w:eastAsiaTheme="minorEastAsia"/>
          <w:sz w:val="24"/>
          <w:szCs w:val="24"/>
        </w:rPr>
        <w:t>建设</w:t>
      </w:r>
      <w:r>
        <w:rPr>
          <w:rFonts w:asciiTheme="minorEastAsia" w:hAnsiTheme="minorEastAsia" w:eastAsiaTheme="minorEastAsia"/>
          <w:sz w:val="24"/>
          <w:szCs w:val="24"/>
        </w:rPr>
        <w:t>实施方案。慢性病防控机构和人员情况来源于</w:t>
      </w:r>
      <w:r>
        <w:rPr>
          <w:rFonts w:hint="eastAsia" w:asciiTheme="minorEastAsia" w:hAnsiTheme="minorEastAsia" w:eastAsiaTheme="minorEastAsia"/>
          <w:sz w:val="24"/>
          <w:szCs w:val="24"/>
        </w:rPr>
        <w:t>市卫健局、市疾控中心</w:t>
      </w:r>
      <w:r>
        <w:rPr>
          <w:rFonts w:asciiTheme="minorEastAsia" w:hAnsiTheme="minorEastAsia" w:eastAsiaTheme="minorEastAsia"/>
          <w:sz w:val="24"/>
          <w:szCs w:val="24"/>
        </w:rPr>
        <w:t>组织机构和人员状况报告、</w:t>
      </w:r>
      <w:r>
        <w:rPr>
          <w:rFonts w:hint="eastAsia" w:asciiTheme="minorEastAsia" w:hAnsiTheme="minorEastAsia" w:eastAsiaTheme="minorEastAsia"/>
          <w:sz w:val="24"/>
          <w:szCs w:val="24"/>
        </w:rPr>
        <w:t>各级</w:t>
      </w:r>
      <w:r>
        <w:rPr>
          <w:rFonts w:asciiTheme="minorEastAsia" w:hAnsiTheme="minorEastAsia" w:eastAsiaTheme="minorEastAsia"/>
          <w:sz w:val="24"/>
          <w:szCs w:val="24"/>
        </w:rPr>
        <w:t>医疗机构慢</w:t>
      </w:r>
      <w:r>
        <w:rPr>
          <w:rFonts w:hint="eastAsia" w:asciiTheme="minorEastAsia" w:hAnsiTheme="minorEastAsia" w:eastAsiaTheme="minorEastAsia"/>
          <w:sz w:val="24"/>
          <w:szCs w:val="24"/>
        </w:rPr>
        <w:t>性</w:t>
      </w:r>
      <w:r>
        <w:rPr>
          <w:rFonts w:asciiTheme="minorEastAsia" w:hAnsiTheme="minorEastAsia" w:eastAsiaTheme="minorEastAsia"/>
          <w:sz w:val="24"/>
          <w:szCs w:val="24"/>
        </w:rPr>
        <w:t>病防控人员配备统计表。</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（4）慢性病防控有关的医疗</w:t>
      </w:r>
      <w:r>
        <w:rPr>
          <w:rFonts w:hint="eastAsia" w:asciiTheme="minorEastAsia" w:hAnsiTheme="minorEastAsia" w:eastAsiaTheme="minorEastAsia"/>
          <w:sz w:val="24"/>
          <w:szCs w:val="24"/>
        </w:rPr>
        <w:t>与健康管理</w:t>
      </w:r>
      <w:r>
        <w:rPr>
          <w:rFonts w:asciiTheme="minorEastAsia" w:hAnsiTheme="minorEastAsia" w:eastAsiaTheme="minorEastAsia"/>
          <w:sz w:val="24"/>
          <w:szCs w:val="24"/>
        </w:rPr>
        <w:t>服务提供情况来源于</w:t>
      </w:r>
      <w:r>
        <w:rPr>
          <w:rFonts w:hint="eastAsia" w:asciiTheme="minorEastAsia" w:hAnsiTheme="minorEastAsia" w:eastAsiaTheme="minorEastAsia"/>
          <w:sz w:val="24"/>
          <w:szCs w:val="24"/>
        </w:rPr>
        <w:t>市疾控中心</w:t>
      </w:r>
      <w:r>
        <w:rPr>
          <w:rFonts w:asciiTheme="minorEastAsia" w:hAnsiTheme="minorEastAsia" w:eastAsiaTheme="minorEastAsia"/>
          <w:sz w:val="24"/>
          <w:szCs w:val="24"/>
        </w:rPr>
        <w:t xml:space="preserve">、县级以上医疗机构、基层医疗机构慢病监测与防治工作开展情况统计表。 </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5</w:t>
      </w:r>
      <w:r>
        <w:rPr>
          <w:rFonts w:asciiTheme="minorEastAsia" w:hAnsiTheme="minorEastAsia" w:eastAsiaTheme="minorEastAsia"/>
          <w:sz w:val="24"/>
          <w:szCs w:val="24"/>
        </w:rPr>
        <w:t>）</w:t>
      </w:r>
      <w:r>
        <w:rPr>
          <w:rFonts w:hint="eastAsia" w:asciiTheme="minorEastAsia" w:hAnsiTheme="minorEastAsia" w:eastAsiaTheme="minorEastAsia"/>
          <w:sz w:val="24"/>
          <w:szCs w:val="24"/>
        </w:rPr>
        <w:t>健康支持性环境、</w:t>
      </w:r>
      <w:r>
        <w:rPr>
          <w:rFonts w:asciiTheme="minorEastAsia" w:hAnsiTheme="minorEastAsia" w:eastAsiaTheme="minorEastAsia"/>
          <w:sz w:val="24"/>
          <w:szCs w:val="24"/>
        </w:rPr>
        <w:t>健身设施情况来源于</w:t>
      </w:r>
      <w:r>
        <w:rPr>
          <w:rFonts w:hint="eastAsia" w:asciiTheme="minorEastAsia" w:hAnsiTheme="minorEastAsia" w:eastAsiaTheme="minorEastAsia"/>
          <w:sz w:val="24"/>
          <w:szCs w:val="24"/>
        </w:rPr>
        <w:t>市</w:t>
      </w:r>
      <w:r>
        <w:rPr>
          <w:rFonts w:asciiTheme="minorEastAsia" w:hAnsiTheme="minorEastAsia" w:eastAsiaTheme="minorEastAsia"/>
          <w:sz w:val="24"/>
          <w:szCs w:val="24"/>
        </w:rPr>
        <w:t>统计局</w:t>
      </w:r>
      <w:r>
        <w:rPr>
          <w:rFonts w:hint="eastAsia" w:asciiTheme="minorEastAsia" w:hAnsiTheme="minorEastAsia" w:eastAsiaTheme="minorEastAsia"/>
          <w:sz w:val="24"/>
          <w:szCs w:val="24"/>
        </w:rPr>
        <w:t>2019年瑞安市</w:t>
      </w:r>
      <w:r>
        <w:rPr>
          <w:rFonts w:asciiTheme="minorEastAsia" w:hAnsiTheme="minorEastAsia" w:eastAsiaTheme="minorEastAsia"/>
          <w:sz w:val="24"/>
          <w:szCs w:val="24"/>
        </w:rPr>
        <w:t>统计年鉴、体育局健身设施等汇总表、</w:t>
      </w:r>
      <w:r>
        <w:rPr>
          <w:rFonts w:hint="eastAsia" w:asciiTheme="minorEastAsia" w:hAnsiTheme="minorEastAsia" w:eastAsiaTheme="minorEastAsia"/>
          <w:sz w:val="24"/>
          <w:szCs w:val="24"/>
        </w:rPr>
        <w:t>市爱卫办和市疾控中心健康支持性环境建设情况</w:t>
      </w:r>
      <w:r>
        <w:rPr>
          <w:rFonts w:asciiTheme="minorEastAsia" w:hAnsiTheme="minorEastAsia" w:eastAsiaTheme="minorEastAsia"/>
          <w:sz w:val="24"/>
          <w:szCs w:val="24"/>
        </w:rPr>
        <w:t>汇总表。</w:t>
      </w:r>
    </w:p>
    <w:p>
      <w:pPr>
        <w:spacing w:after="0" w:line="360" w:lineRule="auto"/>
        <w:rPr>
          <w:rFonts w:asciiTheme="minorEastAsia" w:hAnsiTheme="minorEastAsia" w:eastAsiaTheme="minorEastAsia"/>
          <w:sz w:val="24"/>
          <w:szCs w:val="24"/>
        </w:rPr>
      </w:pPr>
      <w:r>
        <w:rPr>
          <w:rFonts w:hint="eastAsia" w:asciiTheme="minorEastAsia" w:hAnsiTheme="minorEastAsia" w:eastAsiaTheme="minorEastAsia"/>
          <w:b/>
          <w:sz w:val="32"/>
          <w:szCs w:val="32"/>
        </w:rPr>
        <w:t>（二）专题调查－瑞安市慢性病及其危险因素调查</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1、为了解瑞安市主要慢性病及其主要危险因素的现状，市疾控中心于 2019年8-9月份对我市</w:t>
      </w:r>
      <w:r>
        <w:rPr>
          <w:rFonts w:hint="eastAsia" w:asciiTheme="minorEastAsia" w:hAnsiTheme="minorEastAsia" w:eastAsiaTheme="minorEastAsia"/>
          <w:bCs/>
          <w:sz w:val="24"/>
          <w:szCs w:val="24"/>
        </w:rPr>
        <w:t>各街道/乡镇年龄18周岁及以上的户籍人口</w:t>
      </w:r>
      <w:r>
        <w:rPr>
          <w:rFonts w:hint="eastAsia" w:asciiTheme="minorEastAsia" w:hAnsiTheme="minorEastAsia" w:eastAsiaTheme="minorEastAsia"/>
          <w:sz w:val="24"/>
          <w:szCs w:val="24"/>
        </w:rPr>
        <w:t>开展了2019年慢性病及其危险因素调查。</w:t>
      </w:r>
      <w:r>
        <w:rPr>
          <w:rFonts w:asciiTheme="minorEastAsia" w:hAnsiTheme="minorEastAsia" w:eastAsiaTheme="minorEastAsia"/>
          <w:sz w:val="24"/>
          <w:szCs w:val="24"/>
        </w:rPr>
        <w:t>本次调查</w:t>
      </w:r>
      <w:r>
        <w:rPr>
          <w:rFonts w:hint="eastAsia" w:asciiTheme="minorEastAsia" w:hAnsiTheme="minorEastAsia" w:eastAsiaTheme="minorEastAsia"/>
          <w:bCs/>
          <w:sz w:val="24"/>
          <w:szCs w:val="24"/>
        </w:rPr>
        <w:t>采用多阶段分层随机抽样的方法。</w:t>
      </w:r>
      <w:r>
        <w:rPr>
          <w:rFonts w:hint="eastAsia" w:asciiTheme="minorEastAsia" w:hAnsiTheme="minorEastAsia" w:eastAsiaTheme="minorEastAsia"/>
          <w:sz w:val="24"/>
          <w:szCs w:val="24"/>
        </w:rPr>
        <w:t>在全市通过人口规模排序的系统抽样抽取4个街道/乡镇</w:t>
      </w:r>
      <w:r>
        <w:rPr>
          <w:rFonts w:asciiTheme="minorEastAsia" w:hAnsiTheme="minorEastAsia" w:eastAsiaTheme="minorEastAsia"/>
          <w:sz w:val="24"/>
          <w:szCs w:val="24"/>
        </w:rPr>
        <w:t>（高楼、南滨、桐浦、玉海）</w:t>
      </w:r>
      <w:r>
        <w:rPr>
          <w:rFonts w:hint="eastAsia" w:asciiTheme="minorEastAsia" w:hAnsiTheme="minorEastAsia" w:eastAsiaTheme="minorEastAsia"/>
          <w:sz w:val="24"/>
          <w:szCs w:val="24"/>
        </w:rPr>
        <w:t>，然后分别在</w:t>
      </w:r>
      <w:r>
        <w:rPr>
          <w:rFonts w:asciiTheme="minorEastAsia" w:hAnsiTheme="minorEastAsia" w:eastAsiaTheme="minorEastAsia"/>
          <w:sz w:val="24"/>
          <w:szCs w:val="24"/>
        </w:rPr>
        <w:t>这4个</w:t>
      </w:r>
      <w:r>
        <w:rPr>
          <w:rFonts w:hint="eastAsia" w:asciiTheme="minorEastAsia" w:hAnsiTheme="minorEastAsia" w:eastAsiaTheme="minorEastAsia"/>
          <w:sz w:val="24"/>
          <w:szCs w:val="24"/>
        </w:rPr>
        <w:t>调查街道/乡镇通过人口规模排序的系统抽样抽取2个村/居委会（居民户数不少于150户，不足150户的村/居委会可与邻近合并），最后分别在各调查村/居委会随机抽样抽取105户家庭，各调查家庭中所有18岁及以上的户籍人口均为调查对象；若抽中的105户中完成问卷调查的18岁及以上户籍人口不足205人，需从该村/居委会剩余的户中补充相应的调查户开展调查。合计共调查约840户样本家庭，调查样本量约1</w:t>
      </w:r>
      <w:r>
        <w:rPr>
          <w:rFonts w:asciiTheme="minorEastAsia" w:hAnsiTheme="minorEastAsia" w:eastAsiaTheme="minorEastAsia"/>
          <w:sz w:val="24"/>
          <w:szCs w:val="24"/>
        </w:rPr>
        <w:t>228</w:t>
      </w:r>
      <w:r>
        <w:rPr>
          <w:rFonts w:hint="eastAsia" w:asciiTheme="minorEastAsia" w:hAnsiTheme="minorEastAsia" w:eastAsiaTheme="minorEastAsia"/>
          <w:sz w:val="24"/>
          <w:szCs w:val="24"/>
        </w:rPr>
        <w:t>人。调查内容包括一般情况，主要慢性病史及家族史，吸烟、饮酒、体力活动、饮食习惯等生活方式，</w:t>
      </w:r>
      <w:r>
        <w:rPr>
          <w:rFonts w:hint="eastAsia" w:asciiTheme="minorEastAsia" w:hAnsiTheme="minorEastAsia" w:eastAsiaTheme="minorEastAsia"/>
          <w:color w:val="000000"/>
          <w:sz w:val="24"/>
          <w:szCs w:val="24"/>
        </w:rPr>
        <w:t>膳食调查，</w:t>
      </w:r>
      <w:r>
        <w:rPr>
          <w:rFonts w:asciiTheme="minorEastAsia" w:hAnsiTheme="minorEastAsia" w:eastAsiaTheme="minorEastAsia"/>
          <w:color w:val="000000"/>
          <w:sz w:val="24"/>
          <w:szCs w:val="24"/>
        </w:rPr>
        <w:t>慢性病核心知识知晓情况、</w:t>
      </w:r>
      <w:r>
        <w:rPr>
          <w:rFonts w:hint="eastAsia" w:asciiTheme="minorEastAsia" w:hAnsiTheme="minorEastAsia" w:eastAsiaTheme="minorEastAsia"/>
          <w:color w:val="000000"/>
          <w:sz w:val="24"/>
          <w:szCs w:val="24"/>
        </w:rPr>
        <w:t>体重、血压、血脂</w:t>
      </w:r>
      <w:r>
        <w:rPr>
          <w:rFonts w:asciiTheme="minorEastAsia" w:hAnsiTheme="minorEastAsia" w:eastAsiaTheme="minorEastAsia"/>
          <w:color w:val="000000"/>
          <w:sz w:val="24"/>
          <w:szCs w:val="24"/>
        </w:rPr>
        <w:t>等</w:t>
      </w:r>
      <w:r>
        <w:rPr>
          <w:rFonts w:hint="eastAsia" w:asciiTheme="minorEastAsia" w:hAnsiTheme="minorEastAsia" w:eastAsiaTheme="minorEastAsia"/>
          <w:color w:val="000000"/>
          <w:sz w:val="24"/>
          <w:szCs w:val="24"/>
        </w:rPr>
        <w:t>指标</w:t>
      </w:r>
      <w:r>
        <w:rPr>
          <w:rFonts w:asciiTheme="minorEastAsia" w:hAnsiTheme="minorEastAsia" w:eastAsiaTheme="minorEastAsia"/>
          <w:color w:val="000000"/>
          <w:sz w:val="24"/>
          <w:szCs w:val="24"/>
        </w:rPr>
        <w:t>知晓情况、</w:t>
      </w:r>
      <w:r>
        <w:rPr>
          <w:rFonts w:hint="eastAsia" w:asciiTheme="minorEastAsia" w:hAnsiTheme="minorEastAsia" w:eastAsiaTheme="minorEastAsia"/>
          <w:sz w:val="24"/>
          <w:szCs w:val="24"/>
        </w:rPr>
        <w:t>卫生服务需求与利用情况等，并进行身高、体重、腰围、血压测量和实验室检测（静脉血空腹血糖、总胆固醇、甘油三酯、低密度脂蛋白胆固醇、高密度脂蛋白胆固醇和服葡萄糖水后2小时血糖等）。</w:t>
      </w:r>
    </w:p>
    <w:p>
      <w:pPr>
        <w:adjustRightInd/>
        <w:snapToGrid/>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2、为规范我市居民健康素养监测工作，及时监测和评价我市居民健康素养</w:t>
      </w:r>
    </w:p>
    <w:p>
      <w:pPr>
        <w:adjustRightInd/>
        <w:snapToGrid/>
        <w:spacing w:line="360" w:lineRule="auto"/>
        <w:rPr>
          <w:rFonts w:asciiTheme="minorEastAsia" w:hAnsiTheme="minorEastAsia" w:eastAsiaTheme="minorEastAsia"/>
          <w:sz w:val="24"/>
          <w:szCs w:val="24"/>
        </w:rPr>
      </w:pPr>
      <w:r>
        <w:rPr>
          <w:rFonts w:hint="eastAsia" w:asciiTheme="minorEastAsia" w:hAnsiTheme="minorEastAsia" w:eastAsiaTheme="minorEastAsia"/>
          <w:sz w:val="24"/>
          <w:szCs w:val="24"/>
        </w:rPr>
        <w:t>水平，进一步掌握我市居民健康素养水平变化趋势，分析我市居民健康素养影响因素，为政府和卫生计生行政部门制定健康相关政策提供科学依据，根据 2019年浙江省居民健康素养监测工作要求，我市于 2019 年 5～8 月开展了此项调查工作。根据方案要求，本次监测的目标人群为瑞安市 4 个监测点的 15～69周岁常住人口。监测点由省疾控健康教育所抽样确定，确定为：仙降、陶山、安阳、上望。每个监测点抽取 2 个村居或居委会，每个村居或居委会内抽取 100个家庭户，每户抽取 1 名 15~69 岁常住人口（在当地居住时间超过 6 个月）作为调查对象，每个点内至少完成 80 份调查。最终全市共调查完成 640 份问卷。</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疾病</w:t>
      </w:r>
      <w:r>
        <w:rPr>
          <w:rFonts w:hint="eastAsia" w:asciiTheme="minorEastAsia" w:hAnsiTheme="minorEastAsia" w:eastAsiaTheme="minorEastAsia"/>
          <w:sz w:val="24"/>
          <w:szCs w:val="24"/>
        </w:rPr>
        <w:t>、危险因素</w:t>
      </w:r>
      <w:r>
        <w:rPr>
          <w:rFonts w:asciiTheme="minorEastAsia" w:hAnsiTheme="minorEastAsia" w:eastAsiaTheme="minorEastAsia"/>
          <w:sz w:val="24"/>
          <w:szCs w:val="24"/>
        </w:rPr>
        <w:t>标准定义</w:t>
      </w:r>
      <w:r>
        <w:rPr>
          <w:rFonts w:hint="eastAsia" w:asciiTheme="minorEastAsia" w:hAnsiTheme="minorEastAsia" w:eastAsiaTheme="minorEastAsia"/>
          <w:sz w:val="24"/>
          <w:szCs w:val="24"/>
        </w:rPr>
        <w:t>如下：</w:t>
      </w:r>
    </w:p>
    <w:p>
      <w:pPr>
        <w:widowControl w:val="0"/>
        <w:tabs>
          <w:tab w:val="left" w:pos="0"/>
          <w:tab w:val="left" w:pos="360"/>
        </w:tabs>
        <w:adjustRightInd/>
        <w:snapToGrid/>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高血压判断标准：测量收缩压≥140mmHg和（或）舒张压（DBP）≥90mmHg或曾被县级以上医疗机构诊断为高血压。</w:t>
      </w:r>
    </w:p>
    <w:p>
      <w:pPr>
        <w:tabs>
          <w:tab w:val="left" w:pos="0"/>
        </w:tabs>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血压正常高值：130mmHg≤收缩压≤139mmHg和（或）85mmHg≤舒张压≤89mmHg。</w:t>
      </w:r>
    </w:p>
    <w:p>
      <w:pPr>
        <w:tabs>
          <w:tab w:val="left" w:pos="0"/>
        </w:tabs>
        <w:spacing w:after="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既往高血压患者：是指高血压患者中曾被医疗机构诊断为高血压者。</w:t>
      </w:r>
    </w:p>
    <w:p>
      <w:pPr>
        <w:tabs>
          <w:tab w:val="left" w:pos="0"/>
        </w:tabs>
        <w:spacing w:after="0" w:line="360" w:lineRule="auto"/>
        <w:ind w:firstLine="480" w:firstLineChars="200"/>
        <w:rPr>
          <w:rFonts w:asciiTheme="minorEastAsia" w:hAnsiTheme="minorEastAsia" w:eastAsiaTheme="minorEastAsia"/>
          <w:sz w:val="24"/>
          <w:szCs w:val="24"/>
        </w:rPr>
      </w:pPr>
      <w:r>
        <w:rPr>
          <w:rFonts w:hint="eastAsia" w:cs="Times New Roman" w:asciiTheme="minorEastAsia" w:hAnsiTheme="minorEastAsia" w:eastAsiaTheme="minorEastAsia"/>
          <w:sz w:val="24"/>
          <w:szCs w:val="24"/>
        </w:rPr>
        <w:t>高血压控制者：是指高血压患者调查当天血压小于140/90mmHg者。</w:t>
      </w:r>
    </w:p>
    <w:p>
      <w:pPr>
        <w:widowControl w:val="0"/>
        <w:tabs>
          <w:tab w:val="left" w:pos="0"/>
          <w:tab w:val="left" w:pos="360"/>
        </w:tabs>
        <w:adjustRightInd/>
        <w:snapToGrid/>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糖尿病判断标准：参照1999年世界卫生组织标准，将符合下列条件之一者定义为糖尿病：（1）空腹血糖（FBG）≥7.0mmol/L；（2）</w:t>
      </w:r>
      <w:r>
        <w:rPr>
          <w:rFonts w:hint="eastAsia" w:asciiTheme="minorEastAsia" w:hAnsiTheme="minorEastAsia" w:eastAsiaTheme="minorEastAsia"/>
          <w:sz w:val="24"/>
          <w:szCs w:val="24"/>
        </w:rPr>
        <w:t>口服葡萄糖耐量试验（OGTT）中，2h血糖</w:t>
      </w:r>
      <w:r>
        <w:rPr>
          <w:rFonts w:asciiTheme="minorEastAsia" w:hAnsiTheme="minorEastAsia" w:eastAsiaTheme="minorEastAsia"/>
          <w:sz w:val="24"/>
          <w:szCs w:val="24"/>
        </w:rPr>
        <w:t>≥</w:t>
      </w:r>
      <w:r>
        <w:rPr>
          <w:rFonts w:hint="eastAsia" w:asciiTheme="minorEastAsia" w:hAnsiTheme="minorEastAsia" w:eastAsiaTheme="minorEastAsia"/>
          <w:sz w:val="24"/>
          <w:szCs w:val="24"/>
        </w:rPr>
        <w:t>11.1mmol/L；（3）</w:t>
      </w:r>
      <w:r>
        <w:rPr>
          <w:rFonts w:asciiTheme="minorEastAsia" w:hAnsiTheme="minorEastAsia" w:eastAsiaTheme="minorEastAsia"/>
          <w:sz w:val="24"/>
          <w:szCs w:val="24"/>
        </w:rPr>
        <w:t>经县级以上医院确诊为糖尿病者</w:t>
      </w:r>
      <w:r>
        <w:rPr>
          <w:rFonts w:hint="eastAsia" w:asciiTheme="minorEastAsia" w:hAnsiTheme="minorEastAsia" w:eastAsiaTheme="minorEastAsia"/>
          <w:sz w:val="24"/>
          <w:szCs w:val="24"/>
        </w:rPr>
        <w:t>；</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空腹血糖受损（IFG）：6.1mmol/L≤</w:t>
      </w:r>
      <w:r>
        <w:rPr>
          <w:rFonts w:asciiTheme="minorEastAsia" w:hAnsiTheme="minorEastAsia" w:eastAsiaTheme="minorEastAsia"/>
          <w:sz w:val="24"/>
          <w:szCs w:val="24"/>
        </w:rPr>
        <w:t>FBG</w:t>
      </w:r>
      <w:r>
        <w:rPr>
          <w:rFonts w:hint="eastAsia" w:asciiTheme="minorEastAsia" w:hAnsiTheme="minorEastAsia" w:eastAsiaTheme="minorEastAsia"/>
          <w:sz w:val="24"/>
          <w:szCs w:val="24"/>
        </w:rPr>
        <w:t>&lt;7.0mmol/L，且OGTT&lt;7.8mmol/L；</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糖耐量受损（IGT）：7.8mmol/L≤OGTT&lt;11.1 mmol/L，且</w:t>
      </w:r>
      <w:r>
        <w:rPr>
          <w:rFonts w:asciiTheme="minorEastAsia" w:hAnsiTheme="minorEastAsia" w:eastAsiaTheme="minorEastAsia"/>
          <w:sz w:val="24"/>
          <w:szCs w:val="24"/>
        </w:rPr>
        <w:t>FBG</w:t>
      </w:r>
      <w:r>
        <w:rPr>
          <w:rFonts w:hint="eastAsia" w:asciiTheme="minorEastAsia" w:hAnsiTheme="minorEastAsia" w:eastAsiaTheme="minorEastAsia"/>
          <w:sz w:val="24"/>
          <w:szCs w:val="24"/>
        </w:rPr>
        <w:t>&lt;7.0mmol/L；</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糖调节受损（糖尿病前期）：包括空腹血糖受损（IFG）和（或）糖耐量受损（IGT）。</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既往糖尿病患者：是指糖尿病患者中曾被医疗机构诊断为糖尿病者。</w:t>
      </w:r>
    </w:p>
    <w:p>
      <w:pPr>
        <w:spacing w:after="0" w:line="360" w:lineRule="auto"/>
        <w:ind w:firstLine="480" w:firstLineChars="200"/>
        <w:rPr>
          <w:rFonts w:asciiTheme="minorEastAsia" w:hAnsiTheme="minorEastAsia" w:eastAsiaTheme="minorEastAsia"/>
          <w:sz w:val="24"/>
          <w:szCs w:val="24"/>
        </w:rPr>
      </w:pPr>
      <w:r>
        <w:rPr>
          <w:rFonts w:hint="eastAsia" w:cs="Times New Roman" w:asciiTheme="minorEastAsia" w:hAnsiTheme="minorEastAsia" w:eastAsiaTheme="minorEastAsia"/>
          <w:sz w:val="24"/>
          <w:szCs w:val="24"/>
        </w:rPr>
        <w:t>糖尿病控制者：是指糖尿病患者调查当天空腹血糖小于7.0 mmol/L且口服葡萄糖耐量试验（OGTT）服糖后2小时血糖小于11.1 mmol/L者。</w:t>
      </w:r>
    </w:p>
    <w:p>
      <w:pPr>
        <w:widowControl w:val="0"/>
        <w:tabs>
          <w:tab w:val="left" w:pos="0"/>
          <w:tab w:val="left" w:pos="360"/>
        </w:tabs>
        <w:adjustRightInd/>
        <w:snapToGrid/>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血脂异常判断标准：总胆固醇≥6.2mmol/L，或甘油三酯≥2.</w:t>
      </w:r>
      <w:r>
        <w:rPr>
          <w:rFonts w:hint="eastAsia" w:asciiTheme="minorEastAsia" w:hAnsiTheme="minorEastAsia" w:eastAsiaTheme="minorEastAsia"/>
          <w:sz w:val="24"/>
          <w:szCs w:val="24"/>
        </w:rPr>
        <w:t>3</w:t>
      </w:r>
      <w:r>
        <w:rPr>
          <w:rFonts w:asciiTheme="minorEastAsia" w:hAnsiTheme="minorEastAsia" w:eastAsiaTheme="minorEastAsia"/>
          <w:sz w:val="24"/>
          <w:szCs w:val="24"/>
        </w:rPr>
        <w:t>mmol/L</w:t>
      </w:r>
      <w:r>
        <w:rPr>
          <w:rFonts w:hint="eastAsia" w:asciiTheme="minorEastAsia" w:hAnsiTheme="minorEastAsia" w:eastAsiaTheme="minorEastAsia"/>
          <w:sz w:val="24"/>
          <w:szCs w:val="24"/>
        </w:rPr>
        <w:t>，</w:t>
      </w:r>
      <w:r>
        <w:rPr>
          <w:rFonts w:asciiTheme="minorEastAsia" w:hAnsiTheme="minorEastAsia" w:eastAsiaTheme="minorEastAsia"/>
          <w:sz w:val="24"/>
          <w:szCs w:val="24"/>
        </w:rPr>
        <w:t>或高密度脂蛋白＜1.0mmol/L</w:t>
      </w:r>
      <w:r>
        <w:rPr>
          <w:rFonts w:hint="eastAsia" w:asciiTheme="minorEastAsia" w:hAnsiTheme="minorEastAsia" w:eastAsiaTheme="minorEastAsia"/>
          <w:sz w:val="24"/>
          <w:szCs w:val="24"/>
        </w:rPr>
        <w:t>或低密度脂蛋白</w:t>
      </w:r>
      <w:r>
        <w:rPr>
          <w:rFonts w:asciiTheme="minorEastAsia" w:hAnsiTheme="minorEastAsia" w:eastAsiaTheme="minorEastAsia"/>
          <w:sz w:val="24"/>
          <w:szCs w:val="24"/>
        </w:rPr>
        <w:t>≥</w:t>
      </w:r>
      <w:r>
        <w:rPr>
          <w:rFonts w:hint="eastAsia" w:asciiTheme="minorEastAsia" w:hAnsiTheme="minorEastAsia" w:eastAsiaTheme="minorEastAsia"/>
          <w:sz w:val="24"/>
          <w:szCs w:val="24"/>
        </w:rPr>
        <w:t>4.1</w:t>
      </w:r>
      <w:r>
        <w:rPr>
          <w:rFonts w:asciiTheme="minorEastAsia" w:hAnsiTheme="minorEastAsia" w:eastAsiaTheme="minorEastAsia"/>
          <w:sz w:val="24"/>
          <w:szCs w:val="24"/>
        </w:rPr>
        <w:t>mmol/L或曾被县级以上医疗机构诊断为血脂异常；</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胆固醇边缘升高：5.</w:t>
      </w:r>
      <w:r>
        <w:rPr>
          <w:rFonts w:hint="eastAsia" w:asciiTheme="minorEastAsia" w:hAnsiTheme="minorEastAsia" w:eastAsiaTheme="minorEastAsia"/>
          <w:sz w:val="24"/>
          <w:szCs w:val="24"/>
        </w:rPr>
        <w:t>2</w:t>
      </w:r>
      <w:r>
        <w:rPr>
          <w:rFonts w:asciiTheme="minorEastAsia" w:hAnsiTheme="minorEastAsia" w:eastAsiaTheme="minorEastAsia"/>
          <w:sz w:val="24"/>
          <w:szCs w:val="24"/>
        </w:rPr>
        <w:t>mmol/L≤总胆固醇＜6.2mmol/L；</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甘油三酯边缘升高：1.7mmol/L≤甘油三酯＜2.</w:t>
      </w:r>
      <w:r>
        <w:rPr>
          <w:rFonts w:hint="eastAsia" w:asciiTheme="minorEastAsia" w:hAnsiTheme="minorEastAsia" w:eastAsiaTheme="minorEastAsia"/>
          <w:sz w:val="24"/>
          <w:szCs w:val="24"/>
        </w:rPr>
        <w:t>3</w:t>
      </w:r>
      <w:r>
        <w:rPr>
          <w:rFonts w:asciiTheme="minorEastAsia" w:hAnsiTheme="minorEastAsia" w:eastAsiaTheme="minorEastAsia"/>
          <w:sz w:val="24"/>
          <w:szCs w:val="24"/>
        </w:rPr>
        <w:t>mmol/L；</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低密度脂蛋白边缘升高：3.4</w:t>
      </w:r>
      <w:r>
        <w:rPr>
          <w:rFonts w:asciiTheme="minorEastAsia" w:hAnsiTheme="minorEastAsia" w:eastAsiaTheme="minorEastAsia"/>
          <w:sz w:val="24"/>
          <w:szCs w:val="24"/>
        </w:rPr>
        <w:t>mmol/L≤</w:t>
      </w:r>
      <w:r>
        <w:rPr>
          <w:rFonts w:hint="eastAsia" w:asciiTheme="minorEastAsia" w:hAnsiTheme="minorEastAsia" w:eastAsiaTheme="minorEastAsia"/>
          <w:sz w:val="24"/>
          <w:szCs w:val="24"/>
        </w:rPr>
        <w:t>低密度脂蛋白</w:t>
      </w:r>
      <w:r>
        <w:rPr>
          <w:rFonts w:asciiTheme="minorEastAsia" w:hAnsiTheme="minorEastAsia" w:eastAsiaTheme="minorEastAsia"/>
          <w:sz w:val="24"/>
          <w:szCs w:val="24"/>
        </w:rPr>
        <w:t>＜</w:t>
      </w:r>
      <w:r>
        <w:rPr>
          <w:rFonts w:hint="eastAsia" w:asciiTheme="minorEastAsia" w:hAnsiTheme="minorEastAsia" w:eastAsiaTheme="minorEastAsia"/>
          <w:sz w:val="24"/>
          <w:szCs w:val="24"/>
        </w:rPr>
        <w:t>4.1</w:t>
      </w:r>
      <w:r>
        <w:rPr>
          <w:rFonts w:asciiTheme="minorEastAsia" w:hAnsiTheme="minorEastAsia" w:eastAsiaTheme="minorEastAsia"/>
          <w:sz w:val="24"/>
          <w:szCs w:val="24"/>
        </w:rPr>
        <w:t>mmol/L</w:t>
      </w:r>
      <w:r>
        <w:rPr>
          <w:rFonts w:hint="eastAsia" w:asciiTheme="minorEastAsia" w:hAnsiTheme="minorEastAsia" w:eastAsiaTheme="minorEastAsia"/>
          <w:sz w:val="24"/>
          <w:szCs w:val="24"/>
        </w:rPr>
        <w:t>。</w:t>
      </w:r>
    </w:p>
    <w:p>
      <w:pPr>
        <w:widowControl w:val="0"/>
        <w:tabs>
          <w:tab w:val="left" w:pos="0"/>
          <w:tab w:val="left" w:pos="360"/>
        </w:tabs>
        <w:adjustRightInd/>
        <w:snapToGrid/>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超重、肥胖和中心性肥胖判断标准：采用卫生部《中国成人超重与肥胖症预防控制指南（试行）2003版》中的标准，以24≤BMI＜28为超重，BMI≥28为肥胖。中心性肥胖：男性腰围≥</w:t>
      </w:r>
      <w:r>
        <w:rPr>
          <w:rFonts w:hint="eastAsia" w:asciiTheme="minorEastAsia" w:hAnsiTheme="minorEastAsia" w:eastAsiaTheme="minorEastAsia"/>
          <w:sz w:val="24"/>
          <w:szCs w:val="24"/>
        </w:rPr>
        <w:t>90</w:t>
      </w:r>
      <w:r>
        <w:rPr>
          <w:rFonts w:asciiTheme="minorEastAsia" w:hAnsiTheme="minorEastAsia" w:eastAsiaTheme="minorEastAsia"/>
          <w:sz w:val="24"/>
          <w:szCs w:val="24"/>
        </w:rPr>
        <w:t>cm，女性腰围≥8</w:t>
      </w:r>
      <w:r>
        <w:rPr>
          <w:rFonts w:hint="eastAsia" w:asciiTheme="minorEastAsia" w:hAnsiTheme="minorEastAsia" w:eastAsiaTheme="minorEastAsia"/>
          <w:sz w:val="24"/>
          <w:szCs w:val="24"/>
        </w:rPr>
        <w:t>5</w:t>
      </w:r>
      <w:r>
        <w:rPr>
          <w:rFonts w:asciiTheme="minorEastAsia" w:hAnsiTheme="minorEastAsia" w:eastAsiaTheme="minorEastAsia"/>
          <w:sz w:val="24"/>
          <w:szCs w:val="24"/>
        </w:rPr>
        <w:t>cm判断为中心性肥胖。</w:t>
      </w:r>
    </w:p>
    <w:p>
      <w:pPr>
        <w:widowControl w:val="0"/>
        <w:tabs>
          <w:tab w:val="left" w:pos="0"/>
          <w:tab w:val="left" w:pos="360"/>
        </w:tabs>
        <w:adjustRightInd/>
        <w:snapToGrid/>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（5）现在</w:t>
      </w:r>
      <w:r>
        <w:rPr>
          <w:rFonts w:asciiTheme="minorEastAsia" w:hAnsiTheme="minorEastAsia" w:eastAsiaTheme="minorEastAsia"/>
          <w:sz w:val="24"/>
          <w:szCs w:val="24"/>
        </w:rPr>
        <w:t>吸烟：</w:t>
      </w:r>
      <w:r>
        <w:rPr>
          <w:rFonts w:hint="eastAsia" w:asciiTheme="minorEastAsia" w:hAnsiTheme="minorEastAsia" w:eastAsiaTheme="minorEastAsia"/>
          <w:sz w:val="24"/>
          <w:szCs w:val="24"/>
        </w:rPr>
        <w:t>包括每日吸烟和偶尔吸烟。每日吸烟：每天至少吸1支烟，连续或累计达到6个月，并且现在还在吸烟。</w:t>
      </w:r>
      <w:r>
        <w:rPr>
          <w:rFonts w:asciiTheme="minorEastAsia" w:hAnsiTheme="minorEastAsia" w:eastAsiaTheme="minorEastAsia"/>
          <w:sz w:val="24"/>
          <w:szCs w:val="24"/>
        </w:rPr>
        <w:t>重型吸烟：指符合</w:t>
      </w:r>
      <w:r>
        <w:rPr>
          <w:rFonts w:hint="eastAsia" w:asciiTheme="minorEastAsia" w:hAnsiTheme="minorEastAsia" w:eastAsiaTheme="minorEastAsia"/>
          <w:sz w:val="24"/>
          <w:szCs w:val="24"/>
        </w:rPr>
        <w:t>每日</w:t>
      </w:r>
      <w:r>
        <w:rPr>
          <w:rFonts w:asciiTheme="minorEastAsia" w:hAnsiTheme="minorEastAsia" w:eastAsiaTheme="minorEastAsia"/>
          <w:sz w:val="24"/>
          <w:szCs w:val="24"/>
        </w:rPr>
        <w:t>吸烟条件，调查时平均每天吸烟20支</w:t>
      </w:r>
      <w:r>
        <w:rPr>
          <w:rFonts w:hint="eastAsia" w:asciiTheme="minorEastAsia" w:hAnsiTheme="minorEastAsia" w:eastAsiaTheme="minorEastAsia"/>
          <w:sz w:val="24"/>
          <w:szCs w:val="24"/>
        </w:rPr>
        <w:t>及</w:t>
      </w:r>
      <w:r>
        <w:rPr>
          <w:rFonts w:asciiTheme="minorEastAsia" w:hAnsiTheme="minorEastAsia" w:eastAsiaTheme="minorEastAsia"/>
          <w:sz w:val="24"/>
          <w:szCs w:val="24"/>
        </w:rPr>
        <w:t>以上者。</w:t>
      </w:r>
    </w:p>
    <w:p>
      <w:pPr>
        <w:tabs>
          <w:tab w:val="left" w:pos="0"/>
        </w:tabs>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二手烟暴露：指不吸烟者吸入吸烟者呼出的烟雾及卷烟燃烧产生的烟雾。暴露没有时间的限制，接触几分钟、几小时或整天同等认作为二手烟暴露。</w:t>
      </w:r>
    </w:p>
    <w:p>
      <w:pPr>
        <w:widowControl w:val="0"/>
        <w:tabs>
          <w:tab w:val="left" w:pos="0"/>
          <w:tab w:val="left" w:pos="360"/>
        </w:tabs>
        <w:adjustRightInd/>
        <w:snapToGrid/>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饮酒：指不论饮白酒、啤酒、葡萄酒、黄酒等，平均每周饮酒至少1次且现在还在饮酒者</w:t>
      </w:r>
      <w:r>
        <w:rPr>
          <w:rFonts w:hint="eastAsia" w:asciiTheme="minorEastAsia" w:hAnsiTheme="minorEastAsia" w:eastAsiaTheme="minorEastAsia"/>
          <w:sz w:val="24"/>
          <w:szCs w:val="24"/>
        </w:rPr>
        <w:t>，</w:t>
      </w:r>
      <w:r>
        <w:rPr>
          <w:rFonts w:asciiTheme="minorEastAsia" w:hAnsiTheme="minorEastAsia" w:eastAsiaTheme="minorEastAsia"/>
          <w:sz w:val="24"/>
          <w:szCs w:val="24"/>
        </w:rPr>
        <w:t>逢年过节才饮用1次者不算饮酒</w:t>
      </w:r>
      <w:r>
        <w:rPr>
          <w:rFonts w:hint="eastAsia" w:asciiTheme="minorEastAsia" w:hAnsiTheme="minorEastAsia" w:eastAsiaTheme="minorEastAsia"/>
          <w:sz w:val="24"/>
          <w:szCs w:val="24"/>
        </w:rPr>
        <w:t>。有害</w:t>
      </w:r>
      <w:r>
        <w:rPr>
          <w:rFonts w:asciiTheme="minorEastAsia" w:hAnsiTheme="minorEastAsia" w:eastAsiaTheme="minorEastAsia"/>
          <w:sz w:val="24"/>
          <w:szCs w:val="24"/>
        </w:rPr>
        <w:t>饮酒：指符合现在饮酒条件，调查时平均每</w:t>
      </w:r>
      <w:r>
        <w:rPr>
          <w:rFonts w:hint="eastAsia" w:asciiTheme="minorEastAsia" w:hAnsiTheme="minorEastAsia" w:eastAsiaTheme="minorEastAsia"/>
          <w:sz w:val="24"/>
          <w:szCs w:val="24"/>
        </w:rPr>
        <w:t>日</w:t>
      </w:r>
      <w:r>
        <w:rPr>
          <w:rFonts w:asciiTheme="minorEastAsia" w:hAnsiTheme="minorEastAsia" w:eastAsiaTheme="minorEastAsia"/>
          <w:sz w:val="24"/>
          <w:szCs w:val="24"/>
        </w:rPr>
        <w:t>酒精摄入量</w:t>
      </w:r>
      <w:r>
        <w:rPr>
          <w:rFonts w:hint="eastAsia" w:asciiTheme="minorEastAsia" w:hAnsiTheme="minorEastAsia" w:eastAsiaTheme="minorEastAsia"/>
          <w:sz w:val="24"/>
          <w:szCs w:val="24"/>
        </w:rPr>
        <w:t>男性</w:t>
      </w:r>
      <w:r>
        <w:rPr>
          <w:rFonts w:hint="eastAsia" w:asciiTheme="minorEastAsia" w:hAnsiTheme="minorEastAsia" w:eastAsiaTheme="minorEastAsia"/>
          <w:color w:val="000000"/>
          <w:sz w:val="24"/>
          <w:szCs w:val="24"/>
        </w:rPr>
        <w:t>在61克及以上、女性在41克及以上。</w:t>
      </w:r>
      <w:r>
        <w:rPr>
          <w:rFonts w:asciiTheme="minorEastAsia" w:hAnsiTheme="minorEastAsia" w:eastAsiaTheme="minorEastAsia"/>
          <w:sz w:val="24"/>
          <w:szCs w:val="24"/>
        </w:rPr>
        <w:t>（1两40度及以上白酒=20克酒精，1</w:t>
      </w:r>
      <w:r>
        <w:rPr>
          <w:rFonts w:hint="eastAsia" w:asciiTheme="minorEastAsia" w:hAnsiTheme="minorEastAsia" w:eastAsiaTheme="minorEastAsia"/>
          <w:sz w:val="24"/>
          <w:szCs w:val="24"/>
        </w:rPr>
        <w:t>两</w:t>
      </w:r>
      <w:r>
        <w:rPr>
          <w:rFonts w:asciiTheme="minorEastAsia" w:hAnsiTheme="minorEastAsia" w:eastAsiaTheme="minorEastAsia"/>
          <w:sz w:val="24"/>
          <w:szCs w:val="24"/>
        </w:rPr>
        <w:t>40度以下白酒=15克酒精，1斤葡萄酒=50克酒精，1瓶啤酒=</w:t>
      </w:r>
      <w:r>
        <w:rPr>
          <w:rFonts w:hint="eastAsia" w:asciiTheme="minorEastAsia" w:hAnsiTheme="minorEastAsia" w:eastAsiaTheme="minorEastAsia"/>
          <w:sz w:val="24"/>
          <w:szCs w:val="24"/>
        </w:rPr>
        <w:t>2</w:t>
      </w:r>
      <w:r>
        <w:rPr>
          <w:rFonts w:asciiTheme="minorEastAsia" w:hAnsiTheme="minorEastAsia" w:eastAsiaTheme="minorEastAsia"/>
          <w:sz w:val="24"/>
          <w:szCs w:val="24"/>
        </w:rPr>
        <w:t>0克酒精，1</w:t>
      </w:r>
      <w:r>
        <w:rPr>
          <w:rFonts w:hint="eastAsia" w:asciiTheme="minorEastAsia" w:hAnsiTheme="minorEastAsia" w:eastAsiaTheme="minorEastAsia"/>
          <w:sz w:val="24"/>
          <w:szCs w:val="24"/>
        </w:rPr>
        <w:t>听</w:t>
      </w:r>
      <w:r>
        <w:rPr>
          <w:rFonts w:asciiTheme="minorEastAsia" w:hAnsiTheme="minorEastAsia" w:eastAsiaTheme="minorEastAsia"/>
          <w:sz w:val="24"/>
          <w:szCs w:val="24"/>
        </w:rPr>
        <w:t>啤酒=</w:t>
      </w:r>
      <w:r>
        <w:rPr>
          <w:rFonts w:hint="eastAsia" w:asciiTheme="minorEastAsia" w:hAnsiTheme="minorEastAsia" w:eastAsiaTheme="minorEastAsia"/>
          <w:sz w:val="24"/>
          <w:szCs w:val="24"/>
        </w:rPr>
        <w:t>1</w:t>
      </w:r>
      <w:r>
        <w:rPr>
          <w:rFonts w:asciiTheme="minorEastAsia" w:hAnsiTheme="minorEastAsia" w:eastAsiaTheme="minorEastAsia"/>
          <w:sz w:val="24"/>
          <w:szCs w:val="24"/>
        </w:rPr>
        <w:t>0克酒精，1斤黄酒=65克酒精）。</w:t>
      </w:r>
    </w:p>
    <w:p>
      <w:pPr>
        <w:widowControl w:val="0"/>
        <w:tabs>
          <w:tab w:val="left" w:pos="0"/>
          <w:tab w:val="left" w:pos="360"/>
        </w:tabs>
        <w:adjustRightInd/>
        <w:snapToGrid/>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w:t>
      </w:r>
      <w:r>
        <w:rPr>
          <w:rFonts w:asciiTheme="minorEastAsia" w:hAnsiTheme="minorEastAsia" w:eastAsiaTheme="minorEastAsia"/>
          <w:sz w:val="24"/>
          <w:szCs w:val="24"/>
        </w:rPr>
        <w:t>锻炼：指利用业余时间有意识规律进行的、每次超过</w:t>
      </w:r>
      <w:r>
        <w:rPr>
          <w:rFonts w:hint="eastAsia" w:asciiTheme="minorEastAsia" w:hAnsiTheme="minorEastAsia" w:eastAsiaTheme="minorEastAsia"/>
          <w:sz w:val="24"/>
          <w:szCs w:val="24"/>
        </w:rPr>
        <w:t>1</w:t>
      </w:r>
      <w:r>
        <w:rPr>
          <w:rFonts w:asciiTheme="minorEastAsia" w:hAnsiTheme="minorEastAsia" w:eastAsiaTheme="minorEastAsia"/>
          <w:sz w:val="24"/>
          <w:szCs w:val="24"/>
        </w:rPr>
        <w:t>0分钟的以强身健体为目的的各种活动，不包括职业性体力活动、体力劳动或日常出行者。经常锻炼是指符合锻炼条件，每周锻炼频度不少于3</w:t>
      </w:r>
      <w:r>
        <w:rPr>
          <w:rFonts w:hint="eastAsia" w:asciiTheme="minorEastAsia" w:hAnsiTheme="minorEastAsia" w:eastAsiaTheme="minorEastAsia"/>
          <w:sz w:val="24"/>
          <w:szCs w:val="24"/>
        </w:rPr>
        <w:t>天、</w:t>
      </w:r>
      <w:r>
        <w:rPr>
          <w:rFonts w:asciiTheme="minorEastAsia" w:hAnsiTheme="minorEastAsia" w:eastAsiaTheme="minorEastAsia"/>
          <w:sz w:val="24"/>
          <w:szCs w:val="24"/>
        </w:rPr>
        <w:t>每</w:t>
      </w:r>
      <w:r>
        <w:rPr>
          <w:rFonts w:hint="eastAsia" w:asciiTheme="minorEastAsia" w:hAnsiTheme="minorEastAsia" w:eastAsiaTheme="minorEastAsia"/>
          <w:sz w:val="24"/>
          <w:szCs w:val="24"/>
        </w:rPr>
        <w:t>天</w:t>
      </w:r>
      <w:r>
        <w:rPr>
          <w:rFonts w:asciiTheme="minorEastAsia" w:hAnsiTheme="minorEastAsia" w:eastAsiaTheme="minorEastAsia"/>
          <w:sz w:val="24"/>
          <w:szCs w:val="24"/>
        </w:rPr>
        <w:t>锻炼时间不少于30分钟</w:t>
      </w:r>
      <w:r>
        <w:rPr>
          <w:rFonts w:hint="eastAsia" w:asciiTheme="minorEastAsia" w:hAnsiTheme="minorEastAsia" w:eastAsiaTheme="minorEastAsia"/>
          <w:sz w:val="24"/>
          <w:szCs w:val="24"/>
        </w:rPr>
        <w:t>且达到中等强度</w:t>
      </w:r>
      <w:r>
        <w:rPr>
          <w:rFonts w:asciiTheme="minorEastAsia" w:hAnsiTheme="minorEastAsia" w:eastAsiaTheme="minorEastAsia"/>
          <w:sz w:val="24"/>
          <w:szCs w:val="24"/>
        </w:rPr>
        <w:t>。</w:t>
      </w:r>
    </w:p>
    <w:p>
      <w:pPr>
        <w:widowControl w:val="0"/>
        <w:tabs>
          <w:tab w:val="left" w:pos="0"/>
          <w:tab w:val="left" w:pos="360"/>
        </w:tabs>
        <w:adjustRightInd/>
        <w:snapToGrid/>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（8）</w:t>
      </w:r>
      <w:r>
        <w:rPr>
          <w:rFonts w:asciiTheme="minorEastAsia" w:hAnsiTheme="minorEastAsia" w:eastAsiaTheme="minorEastAsia"/>
          <w:color w:val="000000"/>
          <w:sz w:val="24"/>
          <w:szCs w:val="24"/>
        </w:rPr>
        <w:t>烹调油是指烹调使用的各种植物油和动物油，主要包括大豆油、花生油、菜籽油、玉米油、芝麻油、橄榄油、猪油等。</w:t>
      </w:r>
    </w:p>
    <w:p>
      <w:pPr>
        <w:spacing w:after="0"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日均油摄入量=（</w:t>
      </w:r>
      <w:r>
        <w:rPr>
          <w:rFonts w:hint="eastAsia" w:asciiTheme="minorEastAsia" w:hAnsiTheme="minorEastAsia" w:eastAsiaTheme="minorEastAsia"/>
          <w:color w:val="000000"/>
          <w:sz w:val="24"/>
          <w:szCs w:val="24"/>
        </w:rPr>
        <w:t>家庭</w:t>
      </w:r>
      <w:r>
        <w:rPr>
          <w:rFonts w:asciiTheme="minorEastAsia" w:hAnsiTheme="minorEastAsia" w:eastAsiaTheme="minorEastAsia"/>
          <w:color w:val="000000"/>
          <w:sz w:val="24"/>
          <w:szCs w:val="24"/>
        </w:rPr>
        <w:t>月植物油、动物油总摄入量/月</w:t>
      </w:r>
      <w:r>
        <w:rPr>
          <w:rFonts w:hint="eastAsia" w:asciiTheme="minorEastAsia" w:hAnsiTheme="minorEastAsia" w:eastAsiaTheme="minorEastAsia"/>
          <w:color w:val="000000"/>
          <w:sz w:val="24"/>
          <w:szCs w:val="24"/>
        </w:rPr>
        <w:t>家庭</w:t>
      </w:r>
      <w:r>
        <w:rPr>
          <w:rFonts w:asciiTheme="minorEastAsia" w:hAnsiTheme="minorEastAsia" w:eastAsiaTheme="minorEastAsia"/>
          <w:color w:val="000000"/>
          <w:sz w:val="24"/>
          <w:szCs w:val="24"/>
        </w:rPr>
        <w:t>人餐次数）×3</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color w:val="000000"/>
          <w:sz w:val="24"/>
          <w:szCs w:val="24"/>
        </w:rPr>
        <w:t>月</w:t>
      </w:r>
      <w:r>
        <w:rPr>
          <w:rFonts w:hint="eastAsia" w:asciiTheme="minorEastAsia" w:hAnsiTheme="minorEastAsia" w:eastAsiaTheme="minorEastAsia"/>
          <w:color w:val="000000"/>
          <w:sz w:val="24"/>
          <w:szCs w:val="24"/>
        </w:rPr>
        <w:t>家庭</w:t>
      </w:r>
      <w:r>
        <w:rPr>
          <w:rFonts w:asciiTheme="minorEastAsia" w:hAnsiTheme="minorEastAsia" w:eastAsiaTheme="minorEastAsia"/>
          <w:color w:val="000000"/>
          <w:sz w:val="24"/>
          <w:szCs w:val="24"/>
        </w:rPr>
        <w:t>人餐次数=所有家庭成员在家就餐次数总和（6岁以下计半个人数），如家庭3人，其中有1个6岁以下小孩，每天在家就餐1次，计算月</w:t>
      </w:r>
      <w:r>
        <w:rPr>
          <w:rFonts w:hint="eastAsia" w:asciiTheme="minorEastAsia" w:hAnsiTheme="minorEastAsia" w:eastAsiaTheme="minorEastAsia"/>
          <w:color w:val="000000"/>
          <w:sz w:val="24"/>
          <w:szCs w:val="24"/>
        </w:rPr>
        <w:t>家庭</w:t>
      </w:r>
      <w:r>
        <w:rPr>
          <w:rFonts w:asciiTheme="minorEastAsia" w:hAnsiTheme="minorEastAsia" w:eastAsiaTheme="minorEastAsia"/>
          <w:color w:val="000000"/>
          <w:sz w:val="24"/>
          <w:szCs w:val="24"/>
        </w:rPr>
        <w:t>人餐次数=1餐×2.5人×30=75</w:t>
      </w:r>
      <w:r>
        <w:rPr>
          <w:rFonts w:hint="eastAsia" w:asciiTheme="minorEastAsia" w:hAnsiTheme="minorEastAsia" w:eastAsiaTheme="minorEastAsia"/>
          <w:color w:val="000000"/>
          <w:sz w:val="24"/>
          <w:szCs w:val="24"/>
        </w:rPr>
        <w:t>人餐</w:t>
      </w:r>
    </w:p>
    <w:p>
      <w:pPr>
        <w:widowControl w:val="0"/>
        <w:tabs>
          <w:tab w:val="left" w:pos="0"/>
          <w:tab w:val="left" w:pos="360"/>
        </w:tabs>
        <w:adjustRightInd/>
        <w:snapToGrid/>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color w:val="000000"/>
          <w:sz w:val="24"/>
          <w:szCs w:val="24"/>
        </w:rPr>
        <w:t>（9）</w:t>
      </w:r>
      <w:r>
        <w:rPr>
          <w:rFonts w:asciiTheme="minorEastAsia" w:hAnsiTheme="minorEastAsia" w:eastAsiaTheme="minorEastAsia"/>
          <w:color w:val="000000"/>
          <w:sz w:val="24"/>
          <w:szCs w:val="24"/>
        </w:rPr>
        <w:t>钠盐是指各种调味品中提供的钠盐，主要包括盐、酱油、味精、鸡精、咸酱、咸菜等。平均钠盐摄入量是指人群平均每日钠盐摄入克数，各种调味品提供钠盐数按照以下标准换算：100g酱油中含有23克钠盐；100g味精或鸡精含钠盐84g；100g咸菜、咸酱含15g钠盐。</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color w:val="000000"/>
          <w:sz w:val="24"/>
          <w:szCs w:val="24"/>
        </w:rPr>
        <w:t>月钠盐摄入总量=用盐量+酱油×23/100+味精或鸡精×84/100+咸菜、咸肉×15/100</w:t>
      </w:r>
    </w:p>
    <w:p>
      <w:pPr>
        <w:spacing w:after="0" w:line="360" w:lineRule="auto"/>
        <w:ind w:firstLine="480" w:firstLineChars="200"/>
        <w:rPr>
          <w:rFonts w:asciiTheme="minorEastAsia" w:hAnsiTheme="minorEastAsia" w:eastAsiaTheme="minorEastAsia"/>
          <w:color w:val="000000"/>
          <w:sz w:val="24"/>
          <w:szCs w:val="24"/>
        </w:rPr>
      </w:pPr>
      <w:r>
        <w:rPr>
          <w:rFonts w:asciiTheme="minorEastAsia" w:hAnsiTheme="minorEastAsia" w:eastAsiaTheme="minorEastAsia"/>
          <w:color w:val="000000"/>
          <w:sz w:val="24"/>
          <w:szCs w:val="24"/>
        </w:rPr>
        <w:t>日均盐摄入量=（</w:t>
      </w:r>
      <w:r>
        <w:rPr>
          <w:rFonts w:hint="eastAsia" w:asciiTheme="minorEastAsia" w:hAnsiTheme="minorEastAsia" w:eastAsiaTheme="minorEastAsia"/>
          <w:color w:val="000000"/>
          <w:sz w:val="24"/>
          <w:szCs w:val="24"/>
        </w:rPr>
        <w:t>家庭</w:t>
      </w:r>
      <w:r>
        <w:rPr>
          <w:rFonts w:asciiTheme="minorEastAsia" w:hAnsiTheme="minorEastAsia" w:eastAsiaTheme="minorEastAsia"/>
          <w:color w:val="000000"/>
          <w:sz w:val="24"/>
          <w:szCs w:val="24"/>
        </w:rPr>
        <w:t>月钠盐摄入总量/月</w:t>
      </w:r>
      <w:r>
        <w:rPr>
          <w:rFonts w:hint="eastAsia" w:asciiTheme="minorEastAsia" w:hAnsiTheme="minorEastAsia" w:eastAsiaTheme="minorEastAsia"/>
          <w:color w:val="000000"/>
          <w:sz w:val="24"/>
          <w:szCs w:val="24"/>
        </w:rPr>
        <w:t>家庭</w:t>
      </w:r>
      <w:r>
        <w:rPr>
          <w:rFonts w:asciiTheme="minorEastAsia" w:hAnsiTheme="minorEastAsia" w:eastAsiaTheme="minorEastAsia"/>
          <w:color w:val="000000"/>
          <w:sz w:val="24"/>
          <w:szCs w:val="24"/>
        </w:rPr>
        <w:t>人餐次数）×3</w:t>
      </w:r>
    </w:p>
    <w:p>
      <w:pPr>
        <w:spacing w:after="0" w:line="360" w:lineRule="auto"/>
        <w:rPr>
          <w:rFonts w:asciiTheme="minorEastAsia" w:hAnsiTheme="minorEastAsia" w:eastAsiaTheme="minorEastAsia"/>
          <w:b/>
          <w:sz w:val="32"/>
          <w:szCs w:val="32"/>
        </w:rPr>
      </w:pPr>
      <w:r>
        <w:rPr>
          <w:rFonts w:hint="eastAsia" w:asciiTheme="minorEastAsia" w:hAnsiTheme="minorEastAsia" w:eastAsiaTheme="minorEastAsia"/>
          <w:b/>
          <w:sz w:val="32"/>
          <w:szCs w:val="32"/>
        </w:rPr>
        <w:t>（三）各类资料的质量评价</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现有资料：大部分资料来源于市统计局、公安局、卫健局的正式专题报告，数据可靠，质量较高。其中死因监测和慢病报告资料覆盖全市，已建立了完整的质量控制措施，定期进行漏报调查，报告资料的质量趋于稳定。</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专题调查：严格按照抽样方法抽取调查对象；问卷设计采用国家及省疾控中心设计的标准化的结构；实验室检测有统一检测标准；对抽样、问卷调查、体格测量、实验室检验和数据录入与核对等均进行质量控制，保证了专题调查的质量。</w:t>
      </w:r>
    </w:p>
    <w:p>
      <w:pPr>
        <w:spacing w:after="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标化率采用2010年全国普查标准人口年龄构成计算。</w:t>
      </w:r>
      <w:bookmarkStart w:id="1" w:name="_Toc364026652"/>
    </w:p>
    <w:p>
      <w:pPr>
        <w:pStyle w:val="10"/>
        <w:spacing w:before="0" w:after="0" w:line="360" w:lineRule="auto"/>
        <w:outlineLvl w:val="9"/>
        <w:rPr>
          <w:rFonts w:ascii="微软雅黑" w:hAnsi="微软雅黑" w:eastAsia="微软雅黑" w:cs="Times New Roman"/>
          <w:sz w:val="36"/>
          <w:szCs w:val="36"/>
        </w:rPr>
      </w:pPr>
      <w:r>
        <w:rPr>
          <w:rFonts w:hint="eastAsia" w:ascii="微软雅黑" w:hAnsi="微软雅黑" w:eastAsia="微软雅黑" w:cs="Times New Roman"/>
          <w:sz w:val="36"/>
          <w:szCs w:val="36"/>
        </w:rPr>
        <w:t>四</w:t>
      </w:r>
      <w:r>
        <w:rPr>
          <w:rFonts w:ascii="微软雅黑" w:hAnsi="微软雅黑" w:eastAsia="微软雅黑" w:cs="Times New Roman"/>
          <w:sz w:val="36"/>
          <w:szCs w:val="36"/>
        </w:rPr>
        <w:t>、</w:t>
      </w:r>
      <w:r>
        <w:rPr>
          <w:rFonts w:hint="eastAsia" w:ascii="微软雅黑" w:hAnsi="微软雅黑" w:eastAsia="微软雅黑" w:cs="Times New Roman"/>
          <w:sz w:val="36"/>
          <w:szCs w:val="36"/>
        </w:rPr>
        <w:t>瑞安市</w:t>
      </w:r>
      <w:r>
        <w:rPr>
          <w:rFonts w:ascii="微软雅黑" w:hAnsi="微软雅黑" w:eastAsia="微软雅黑" w:cs="Times New Roman"/>
          <w:sz w:val="36"/>
          <w:szCs w:val="36"/>
        </w:rPr>
        <w:t>疾病谱特点</w:t>
      </w:r>
      <w:bookmarkEnd w:id="1"/>
      <w:bookmarkStart w:id="2" w:name="_Toc364026653"/>
    </w:p>
    <w:p>
      <w:pPr>
        <w:pStyle w:val="10"/>
        <w:spacing w:before="0" w:after="0" w:line="360" w:lineRule="auto"/>
        <w:jc w:val="left"/>
        <w:outlineLvl w:val="9"/>
        <w:rPr>
          <w:rFonts w:ascii="微软雅黑" w:hAnsi="微软雅黑" w:eastAsia="微软雅黑" w:cs="Times New Roman"/>
          <w:sz w:val="36"/>
          <w:szCs w:val="36"/>
        </w:rPr>
      </w:pPr>
      <w:r>
        <w:rPr>
          <w:rFonts w:hint="eastAsia" w:ascii="Times New Roman" w:hAnsi="宋体"/>
        </w:rPr>
        <w:t>（一）、死因分析</w:t>
      </w:r>
    </w:p>
    <w:p>
      <w:pPr>
        <w:pStyle w:val="10"/>
        <w:spacing w:after="0" w:line="360" w:lineRule="auto"/>
        <w:jc w:val="both"/>
        <w:rPr>
          <w:rFonts w:asciiTheme="minorEastAsia" w:hAnsiTheme="minorEastAsia"/>
          <w:sz w:val="28"/>
          <w:szCs w:val="28"/>
        </w:rPr>
      </w:pPr>
      <w:r>
        <w:rPr>
          <w:rFonts w:hint="eastAsia" w:asciiTheme="minorEastAsia" w:hAnsiTheme="minorEastAsia"/>
          <w:sz w:val="28"/>
          <w:szCs w:val="28"/>
        </w:rPr>
        <w:t>1、死亡水平</w:t>
      </w:r>
    </w:p>
    <w:p>
      <w:pPr>
        <w:pStyle w:val="10"/>
        <w:spacing w:before="0" w:after="0" w:line="360" w:lineRule="auto"/>
        <w:ind w:firstLine="480" w:firstLineChars="200"/>
        <w:jc w:val="left"/>
        <w:outlineLvl w:val="9"/>
        <w:rPr>
          <w:rFonts w:ascii="宋体" w:hAnsi="宋体" w:eastAsia="宋体" w:cs="宋体"/>
          <w:b w:val="0"/>
          <w:sz w:val="24"/>
          <w:szCs w:val="24"/>
        </w:rPr>
      </w:pPr>
      <w:r>
        <w:rPr>
          <w:rFonts w:hint="eastAsia" w:ascii="宋体" w:hAnsi="宋体" w:eastAsia="宋体"/>
          <w:b w:val="0"/>
          <w:sz w:val="24"/>
          <w:szCs w:val="24"/>
        </w:rPr>
        <w:t>按户籍地址、死亡时间统计，2019年累计报告居民死亡6814例，年平均死亡率为542.61/10万，标化死亡率为355.79/10万；其中男性死亡3950例，死亡率为613.76/10万，标化死亡率为406.12/10万：女性死亡2864例，死亡率为467.81/10万、标化死亡率为300.18/10万，男女死亡性别比为1.38:1。</w:t>
      </w:r>
      <w:r>
        <w:rPr>
          <w:rFonts w:hint="eastAsia" w:ascii="宋体" w:hAnsi="宋体" w:eastAsia="宋体" w:cs="宋体"/>
          <w:b w:val="0"/>
          <w:sz w:val="24"/>
          <w:szCs w:val="24"/>
        </w:rPr>
        <w:t>5岁以下儿童死亡率为197.45/10万。婴儿死亡率为141.03/10万（男女分别为175.13/10万、103.58/10万）。</w:t>
      </w:r>
    </w:p>
    <w:p>
      <w:pPr>
        <w:pStyle w:val="10"/>
        <w:spacing w:before="0" w:after="0" w:line="360" w:lineRule="auto"/>
        <w:ind w:firstLine="480" w:firstLineChars="200"/>
        <w:jc w:val="left"/>
        <w:outlineLvl w:val="9"/>
        <w:rPr>
          <w:rFonts w:ascii="宋体" w:hAnsi="宋体" w:eastAsia="宋体" w:cs="宋体"/>
          <w:b w:val="0"/>
          <w:sz w:val="24"/>
          <w:szCs w:val="24"/>
        </w:rPr>
      </w:pPr>
      <w:r>
        <w:rPr>
          <w:rFonts w:hint="eastAsia" w:ascii="宋体" w:hAnsi="宋体" w:eastAsia="宋体" w:cs="宋体"/>
          <w:b w:val="0"/>
          <w:sz w:val="24"/>
          <w:szCs w:val="24"/>
        </w:rPr>
        <w:t>2015年瑞安市共报告户籍死亡个案6817例</w:t>
      </w:r>
      <w:r>
        <w:rPr>
          <w:rFonts w:hint="eastAsia" w:ascii="宋体" w:hAnsi="宋体" w:eastAsia="宋体" w:cs="Malgun Gothic Semilight"/>
          <w:b w:val="0"/>
          <w:sz w:val="24"/>
          <w:szCs w:val="24"/>
        </w:rPr>
        <w:t>，</w:t>
      </w:r>
      <w:r>
        <w:rPr>
          <w:rFonts w:hint="eastAsia" w:ascii="宋体" w:hAnsi="宋体" w:eastAsia="宋体" w:cs="宋体"/>
          <w:b w:val="0"/>
          <w:sz w:val="24"/>
          <w:szCs w:val="24"/>
        </w:rPr>
        <w:t>监测人群总死亡率为615.61/10万。2016年瑞安市共报告户籍死亡个案6854例</w:t>
      </w:r>
      <w:r>
        <w:rPr>
          <w:rFonts w:hint="eastAsia" w:ascii="宋体" w:hAnsi="宋体" w:eastAsia="宋体" w:cs="Malgun Gothic Semilight"/>
          <w:b w:val="0"/>
          <w:sz w:val="24"/>
          <w:szCs w:val="24"/>
        </w:rPr>
        <w:t>，</w:t>
      </w:r>
      <w:r>
        <w:rPr>
          <w:rFonts w:hint="eastAsia" w:ascii="宋体" w:hAnsi="宋体" w:eastAsia="宋体" w:cs="宋体"/>
          <w:b w:val="0"/>
          <w:sz w:val="24"/>
          <w:szCs w:val="24"/>
        </w:rPr>
        <w:t>监测人群总死亡率为617.81/10万。2017年瑞安市共报告户籍死亡个案6641例</w:t>
      </w:r>
      <w:r>
        <w:rPr>
          <w:rFonts w:hint="eastAsia" w:ascii="宋体" w:hAnsi="宋体" w:eastAsia="宋体" w:cs="Malgun Gothic Semilight"/>
          <w:b w:val="0"/>
          <w:sz w:val="24"/>
          <w:szCs w:val="24"/>
        </w:rPr>
        <w:t>，</w:t>
      </w:r>
      <w:r>
        <w:rPr>
          <w:rFonts w:hint="eastAsia" w:ascii="宋体" w:hAnsi="宋体" w:eastAsia="宋体" w:cs="宋体"/>
          <w:b w:val="0"/>
          <w:sz w:val="24"/>
          <w:szCs w:val="24"/>
        </w:rPr>
        <w:t>监测人群总死亡率为599.28/10万。2018年瑞安市共报告户籍死亡个案6850例</w:t>
      </w:r>
      <w:r>
        <w:rPr>
          <w:rFonts w:hint="eastAsia" w:ascii="宋体" w:hAnsi="宋体" w:eastAsia="宋体" w:cs="Malgun Gothic Semilight"/>
          <w:b w:val="0"/>
          <w:sz w:val="24"/>
          <w:szCs w:val="24"/>
        </w:rPr>
        <w:t>，</w:t>
      </w:r>
      <w:r>
        <w:rPr>
          <w:rFonts w:hint="eastAsia" w:ascii="宋体" w:hAnsi="宋体" w:eastAsia="宋体" w:cs="宋体"/>
          <w:b w:val="0"/>
          <w:sz w:val="24"/>
          <w:szCs w:val="24"/>
        </w:rPr>
        <w:t>监测人群总死亡率为618.64/10万。</w:t>
      </w:r>
    </w:p>
    <w:p>
      <w:pPr>
        <w:pStyle w:val="10"/>
        <w:spacing w:before="0" w:after="0" w:line="360" w:lineRule="auto"/>
        <w:ind w:firstLine="480" w:firstLineChars="200"/>
        <w:jc w:val="left"/>
        <w:outlineLvl w:val="9"/>
        <w:rPr>
          <w:rFonts w:ascii="宋体" w:hAnsi="宋体" w:eastAsia="宋体" w:cs="宋体"/>
          <w:b w:val="0"/>
          <w:sz w:val="24"/>
          <w:szCs w:val="24"/>
        </w:rPr>
      </w:pPr>
      <w:r>
        <w:rPr>
          <w:rFonts w:hint="eastAsia" w:ascii="宋体" w:hAnsi="宋体" w:eastAsia="宋体" w:cs="宋体"/>
          <w:b w:val="0"/>
          <w:sz w:val="24"/>
          <w:szCs w:val="24"/>
        </w:rPr>
        <w:t>2015-2019年瑞安市死亡水平整体平稳</w:t>
      </w:r>
      <w:r>
        <w:rPr>
          <w:rFonts w:hint="eastAsia" w:ascii="宋体" w:hAnsi="宋体" w:eastAsia="宋体" w:cs="Malgun Gothic Semilight"/>
          <w:b w:val="0"/>
          <w:sz w:val="24"/>
          <w:szCs w:val="24"/>
        </w:rPr>
        <w:t>，</w:t>
      </w:r>
      <w:r>
        <w:rPr>
          <w:rFonts w:hint="eastAsia" w:ascii="宋体" w:hAnsi="宋体" w:eastAsia="宋体" w:cs="宋体"/>
          <w:b w:val="0"/>
          <w:sz w:val="24"/>
          <w:szCs w:val="24"/>
        </w:rPr>
        <w:t>全市0～1岁组合计死亡率为2.00‰,随着年龄增加呈下降趋势</w:t>
      </w:r>
      <w:r>
        <w:rPr>
          <w:rFonts w:hint="eastAsia" w:ascii="宋体" w:hAnsi="宋体" w:eastAsia="宋体" w:cs="Malgun Gothic Semilight"/>
          <w:b w:val="0"/>
          <w:sz w:val="24"/>
          <w:szCs w:val="24"/>
        </w:rPr>
        <w:t>，</w:t>
      </w:r>
      <w:r>
        <w:rPr>
          <w:rFonts w:hint="eastAsia" w:ascii="宋体" w:hAnsi="宋体" w:eastAsia="宋体" w:cs="宋体"/>
          <w:b w:val="0"/>
          <w:sz w:val="24"/>
          <w:szCs w:val="24"/>
        </w:rPr>
        <w:t>到5~14岁组降为最低点0.11‰，以后随着年龄的增加死亡率升高</w:t>
      </w:r>
      <w:r>
        <w:rPr>
          <w:rFonts w:hint="eastAsia" w:ascii="宋体" w:hAnsi="宋体" w:eastAsia="宋体" w:cs="Malgun Gothic Semilight"/>
          <w:b w:val="0"/>
          <w:sz w:val="24"/>
          <w:szCs w:val="24"/>
        </w:rPr>
        <w:t>，</w:t>
      </w:r>
      <w:r>
        <w:rPr>
          <w:rFonts w:hint="eastAsia" w:ascii="宋体" w:hAnsi="宋体" w:eastAsia="宋体" w:cs="宋体"/>
          <w:b w:val="0"/>
          <w:sz w:val="24"/>
          <w:szCs w:val="24"/>
        </w:rPr>
        <w:t>85岁以上组达到最高146.33‰。见图1.</w:t>
      </w:r>
    </w:p>
    <w:p>
      <w:pPr>
        <w:pStyle w:val="10"/>
        <w:spacing w:after="0" w:line="360" w:lineRule="auto"/>
        <w:jc w:val="both"/>
        <w:rPr>
          <w:rFonts w:ascii="仿宋_GB2312" w:hAnsi="宋体" w:eastAsia="仿宋_GB2312" w:cs="宋体"/>
          <w:b w:val="0"/>
          <w:sz w:val="22"/>
          <w:szCs w:val="22"/>
        </w:rPr>
      </w:pPr>
      <w:r>
        <w:rPr>
          <w:rFonts w:ascii="仿宋_GB2312" w:hAnsi="宋体" w:eastAsia="仿宋_GB2312" w:cs="宋体"/>
          <w:b w:val="0"/>
          <w:sz w:val="22"/>
          <w:szCs w:val="22"/>
        </w:rPr>
        <w:drawing>
          <wp:inline distT="0" distB="0" distL="0" distR="0">
            <wp:extent cx="5274310" cy="2253615"/>
            <wp:effectExtent l="19050" t="0" r="21590" b="0"/>
            <wp:docPr id="30"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10"/>
        <w:spacing w:after="0" w:line="360" w:lineRule="auto"/>
        <w:ind w:firstLine="990" w:firstLineChars="450"/>
        <w:jc w:val="left"/>
        <w:rPr>
          <w:rFonts w:cs="宋体" w:asciiTheme="minorEastAsia" w:hAnsiTheme="minorEastAsia"/>
          <w:b w:val="0"/>
          <w:sz w:val="22"/>
          <w:szCs w:val="22"/>
        </w:rPr>
      </w:pPr>
      <w:r>
        <w:rPr>
          <w:rFonts w:hint="eastAsia" w:cs="宋体" w:asciiTheme="minorEastAsia" w:hAnsiTheme="minorEastAsia"/>
          <w:b w:val="0"/>
          <w:sz w:val="22"/>
          <w:szCs w:val="22"/>
        </w:rPr>
        <w:t>图1   2015-2019年瑞安市分性别、分年龄平均死亡率（1/10万）</w:t>
      </w:r>
    </w:p>
    <w:p>
      <w:pPr>
        <w:pStyle w:val="10"/>
        <w:spacing w:after="0" w:line="360" w:lineRule="auto"/>
        <w:jc w:val="both"/>
        <w:rPr>
          <w:rFonts w:ascii="宋体" w:hAnsi="宋体" w:eastAsia="宋体" w:cs="宋体"/>
          <w:sz w:val="28"/>
          <w:szCs w:val="28"/>
        </w:rPr>
      </w:pPr>
      <w:r>
        <w:rPr>
          <w:rFonts w:hint="eastAsia" w:ascii="宋体" w:hAnsi="宋体" w:eastAsia="宋体" w:cs="宋体"/>
          <w:sz w:val="28"/>
          <w:szCs w:val="28"/>
        </w:rPr>
        <w:t>2、期望寿命</w:t>
      </w:r>
    </w:p>
    <w:p>
      <w:pPr>
        <w:pStyle w:val="10"/>
        <w:spacing w:before="0" w:after="0" w:line="360" w:lineRule="auto"/>
        <w:ind w:firstLine="480" w:firstLineChars="200"/>
        <w:jc w:val="left"/>
        <w:outlineLvl w:val="9"/>
        <w:rPr>
          <w:rFonts w:cs="Malgun Gothic Semilight" w:asciiTheme="minorEastAsia" w:hAnsiTheme="minorEastAsia"/>
          <w:b w:val="0"/>
          <w:sz w:val="24"/>
          <w:szCs w:val="24"/>
        </w:rPr>
      </w:pPr>
      <w:r>
        <w:rPr>
          <w:rFonts w:hint="eastAsia" w:cs="宋体" w:asciiTheme="minorEastAsia" w:hAnsiTheme="minorEastAsia"/>
          <w:b w:val="0"/>
          <w:sz w:val="24"/>
          <w:szCs w:val="24"/>
        </w:rPr>
        <w:t>2019年瑞安市居民平均期望寿命为81.96岁，其中男性平均期望寿命为79.79岁</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女性平均期望寿命为84.38岁</w:t>
      </w:r>
      <w:r>
        <w:rPr>
          <w:rFonts w:hint="eastAsia" w:cs="Malgun Gothic Semilight" w:asciiTheme="minorEastAsia" w:hAnsiTheme="minorEastAsia"/>
          <w:b w:val="0"/>
          <w:sz w:val="24"/>
          <w:szCs w:val="24"/>
        </w:rPr>
        <w:t>。</w:t>
      </w:r>
    </w:p>
    <w:p>
      <w:pPr>
        <w:pStyle w:val="10"/>
        <w:spacing w:before="0" w:after="0" w:line="360" w:lineRule="auto"/>
        <w:ind w:firstLine="480" w:firstLineChars="200"/>
        <w:jc w:val="left"/>
        <w:outlineLvl w:val="9"/>
        <w:rPr>
          <w:rFonts w:cs="宋体" w:asciiTheme="minorEastAsia" w:hAnsiTheme="minorEastAsia"/>
          <w:b w:val="0"/>
          <w:sz w:val="24"/>
          <w:szCs w:val="24"/>
        </w:rPr>
      </w:pPr>
      <w:r>
        <w:rPr>
          <w:rFonts w:hint="eastAsia" w:cs="宋体" w:asciiTheme="minorEastAsia" w:hAnsiTheme="minorEastAsia"/>
          <w:b w:val="0"/>
          <w:sz w:val="24"/>
          <w:szCs w:val="24"/>
        </w:rPr>
        <w:t>2015年瑞安市居民平均期望寿命为81.00岁</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2016年瑞安市居民平均期望寿命为80.72岁</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2017年瑞安市居民平均期望寿命为81.54岁</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2018年瑞安市居民平均期望寿命为81.62岁</w:t>
      </w:r>
      <w:r>
        <w:rPr>
          <w:rFonts w:hint="eastAsia" w:cs="Malgun Gothic Semilight" w:asciiTheme="minorEastAsia" w:hAnsiTheme="minorEastAsia"/>
          <w:b w:val="0"/>
          <w:sz w:val="24"/>
          <w:szCs w:val="24"/>
        </w:rPr>
        <w:t>。</w:t>
      </w:r>
    </w:p>
    <w:p>
      <w:pPr>
        <w:pStyle w:val="10"/>
        <w:spacing w:before="0" w:after="0" w:line="360" w:lineRule="auto"/>
        <w:ind w:firstLine="480" w:firstLineChars="200"/>
        <w:jc w:val="left"/>
        <w:outlineLvl w:val="9"/>
        <w:rPr>
          <w:rFonts w:cs="宋体" w:asciiTheme="minorEastAsia" w:hAnsiTheme="minorEastAsia"/>
          <w:b w:val="0"/>
          <w:sz w:val="24"/>
          <w:szCs w:val="24"/>
        </w:rPr>
      </w:pPr>
      <w:r>
        <w:rPr>
          <w:rFonts w:hint="eastAsia" w:cs="宋体" w:asciiTheme="minorEastAsia" w:hAnsiTheme="minorEastAsia"/>
          <w:b w:val="0"/>
          <w:sz w:val="24"/>
          <w:szCs w:val="24"/>
        </w:rPr>
        <w:t>2015至2019年瑞安市平均期望寿命基本趋于增长趋势</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2019年较2015年期望寿命增加了0.96岁</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见图2.</w:t>
      </w:r>
    </w:p>
    <w:p>
      <w:pPr>
        <w:pStyle w:val="10"/>
        <w:spacing w:after="0" w:line="360" w:lineRule="auto"/>
        <w:rPr>
          <w:rFonts w:ascii="Times New Roman" w:hAnsi="宋体"/>
          <w:b w:val="0"/>
          <w:sz w:val="24"/>
          <w:szCs w:val="24"/>
        </w:rPr>
      </w:pPr>
      <w:r>
        <w:rPr>
          <w:rFonts w:ascii="Times New Roman" w:hAnsi="宋体"/>
          <w:b w:val="0"/>
          <w:sz w:val="24"/>
          <w:szCs w:val="24"/>
        </w:rPr>
        <w:drawing>
          <wp:inline distT="0" distB="0" distL="0" distR="0">
            <wp:extent cx="4572000" cy="2743200"/>
            <wp:effectExtent l="19050" t="0" r="19050" b="0"/>
            <wp:docPr id="26"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10"/>
        <w:spacing w:after="0" w:line="360" w:lineRule="auto"/>
        <w:rPr>
          <w:rFonts w:cs="宋体" w:asciiTheme="minorEastAsia" w:hAnsiTheme="minorEastAsia"/>
          <w:b w:val="0"/>
          <w:sz w:val="22"/>
          <w:szCs w:val="22"/>
        </w:rPr>
      </w:pPr>
      <w:r>
        <w:rPr>
          <w:rFonts w:hint="eastAsia" w:asciiTheme="minorEastAsia" w:hAnsiTheme="minorEastAsia"/>
          <w:b w:val="0"/>
          <w:sz w:val="22"/>
          <w:szCs w:val="22"/>
        </w:rPr>
        <w:t xml:space="preserve">图2   </w:t>
      </w:r>
      <w:r>
        <w:rPr>
          <w:rFonts w:hint="eastAsia" w:cs="宋体" w:asciiTheme="minorEastAsia" w:hAnsiTheme="minorEastAsia"/>
          <w:b w:val="0"/>
          <w:sz w:val="22"/>
          <w:szCs w:val="22"/>
        </w:rPr>
        <w:t>2015-2019年瑞安市人均期望寿命（岁）</w:t>
      </w:r>
    </w:p>
    <w:p>
      <w:pPr>
        <w:pStyle w:val="10"/>
        <w:spacing w:after="0" w:line="360" w:lineRule="auto"/>
        <w:jc w:val="left"/>
        <w:rPr>
          <w:rFonts w:cs="宋体" w:asciiTheme="minorEastAsia" w:hAnsiTheme="minorEastAsia"/>
          <w:sz w:val="28"/>
          <w:szCs w:val="28"/>
        </w:rPr>
      </w:pPr>
      <w:r>
        <w:rPr>
          <w:rFonts w:hint="eastAsia" w:cs="宋体" w:asciiTheme="minorEastAsia" w:hAnsiTheme="minorEastAsia"/>
          <w:sz w:val="28"/>
          <w:szCs w:val="28"/>
        </w:rPr>
        <w:t>3、三大死因</w:t>
      </w:r>
    </w:p>
    <w:p>
      <w:pPr>
        <w:pStyle w:val="10"/>
        <w:spacing w:before="0" w:after="0" w:line="360" w:lineRule="auto"/>
        <w:ind w:firstLine="480" w:firstLineChars="200"/>
        <w:jc w:val="left"/>
        <w:outlineLvl w:val="9"/>
        <w:rPr>
          <w:rFonts w:cs="宋体" w:asciiTheme="minorEastAsia" w:hAnsiTheme="minorEastAsia"/>
          <w:b w:val="0"/>
          <w:sz w:val="24"/>
          <w:szCs w:val="24"/>
        </w:rPr>
      </w:pPr>
      <w:r>
        <w:rPr>
          <w:rFonts w:hint="eastAsia" w:cs="宋体" w:asciiTheme="minorEastAsia" w:hAnsiTheme="minorEastAsia"/>
          <w:b w:val="0"/>
          <w:sz w:val="24"/>
          <w:szCs w:val="24"/>
        </w:rPr>
        <w:t>2019年瑞安市户籍报告死亡病例中</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除去诊断不明和其他疾病的90例死亡病例，感染性疾病和母婴疾病</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慢性病</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损伤和中毒三大类疾病 分别为210例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6035例和479例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报告死亡率分别为16.72/10万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480.57/10万和38.14/10万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慢性病所占比例最高</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为88.57%；其次为伤害和中毒</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死因构成为7.03%,最后是感染性</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母婴及营养缺乏疾病</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死因构成为3.08%。见图3.</w:t>
      </w:r>
    </w:p>
    <w:p>
      <w:pPr>
        <w:pStyle w:val="10"/>
        <w:spacing w:after="0" w:line="360" w:lineRule="auto"/>
        <w:rPr>
          <w:rFonts w:ascii="仿宋_GB2312" w:hAnsi="宋体" w:eastAsia="仿宋_GB2312" w:cs="宋体"/>
          <w:b w:val="0"/>
          <w:sz w:val="22"/>
          <w:szCs w:val="22"/>
        </w:rPr>
      </w:pPr>
      <w:r>
        <w:rPr>
          <w:rFonts w:ascii="仿宋_GB2312" w:hAnsi="宋体" w:eastAsia="仿宋_GB2312" w:cs="宋体"/>
          <w:b w:val="0"/>
          <w:sz w:val="22"/>
          <w:szCs w:val="22"/>
        </w:rPr>
        <w:drawing>
          <wp:inline distT="0" distB="0" distL="0" distR="0">
            <wp:extent cx="4572000" cy="2743200"/>
            <wp:effectExtent l="19050" t="0" r="19050" b="0"/>
            <wp:docPr id="28"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10"/>
        <w:spacing w:after="0" w:line="360" w:lineRule="auto"/>
        <w:rPr>
          <w:rFonts w:cs="宋体" w:asciiTheme="minorEastAsia" w:hAnsiTheme="minorEastAsia"/>
          <w:b w:val="0"/>
          <w:sz w:val="22"/>
          <w:szCs w:val="22"/>
        </w:rPr>
      </w:pPr>
      <w:r>
        <w:rPr>
          <w:rFonts w:hint="eastAsia" w:cs="宋体" w:asciiTheme="minorEastAsia" w:hAnsiTheme="minorEastAsia"/>
          <w:b w:val="0"/>
          <w:sz w:val="22"/>
          <w:szCs w:val="22"/>
        </w:rPr>
        <w:t>图3   2019年瑞安市三大类疾病死因构成（不包括不明原因及其他疾病）</w:t>
      </w:r>
    </w:p>
    <w:p>
      <w:pPr>
        <w:pStyle w:val="10"/>
        <w:spacing w:after="0" w:line="360" w:lineRule="auto"/>
        <w:jc w:val="left"/>
        <w:rPr>
          <w:rFonts w:cs="宋体" w:asciiTheme="minorEastAsia" w:hAnsiTheme="minorEastAsia"/>
          <w:sz w:val="28"/>
          <w:szCs w:val="28"/>
        </w:rPr>
      </w:pPr>
      <w:r>
        <w:rPr>
          <w:rFonts w:hint="eastAsia" w:cs="宋体" w:asciiTheme="minorEastAsia" w:hAnsiTheme="minorEastAsia"/>
          <w:sz w:val="28"/>
          <w:szCs w:val="28"/>
        </w:rPr>
        <w:t>4、慢性病死因分析</w:t>
      </w:r>
    </w:p>
    <w:p>
      <w:pPr>
        <w:pStyle w:val="10"/>
        <w:spacing w:after="0" w:line="360" w:lineRule="auto"/>
        <w:jc w:val="left"/>
        <w:rPr>
          <w:rFonts w:cs="宋体" w:asciiTheme="minorEastAsia" w:hAnsiTheme="minorEastAsia"/>
          <w:sz w:val="24"/>
          <w:szCs w:val="24"/>
        </w:rPr>
      </w:pPr>
      <w:r>
        <w:rPr>
          <w:rFonts w:hint="eastAsia" w:cs="宋体" w:asciiTheme="minorEastAsia" w:hAnsiTheme="minorEastAsia"/>
          <w:sz w:val="24"/>
          <w:szCs w:val="24"/>
        </w:rPr>
        <w:t>4.1肿瘤</w:t>
      </w:r>
    </w:p>
    <w:p>
      <w:pPr>
        <w:pStyle w:val="10"/>
        <w:spacing w:before="0" w:after="0" w:line="360" w:lineRule="auto"/>
        <w:ind w:firstLine="480" w:firstLineChars="200"/>
        <w:jc w:val="left"/>
        <w:outlineLvl w:val="9"/>
        <w:rPr>
          <w:rFonts w:cs="Malgun Gothic Semilight" w:asciiTheme="minorEastAsia" w:hAnsiTheme="minorEastAsia"/>
          <w:b w:val="0"/>
          <w:sz w:val="24"/>
          <w:szCs w:val="24"/>
        </w:rPr>
      </w:pPr>
      <w:r>
        <w:rPr>
          <w:rFonts w:hint="eastAsia" w:cs="宋体" w:asciiTheme="minorEastAsia" w:hAnsiTheme="minorEastAsia"/>
          <w:b w:val="0"/>
          <w:sz w:val="24"/>
          <w:szCs w:val="24"/>
        </w:rPr>
        <w:t>2015年共报告肿瘤死亡病例2002例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报告死亡率为180.79/10万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2016年共报告肿瘤死亡病例2128例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报告死亡率为191.82/10万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2017年共报告肿瘤死亡病例2017例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报告死亡率为182.01/10万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2018年共报告肿瘤死亡病例2095例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报告死亡率为189.20/10万</w:t>
      </w:r>
      <w:r>
        <w:rPr>
          <w:rFonts w:hint="eastAsia" w:cs="Malgun Gothic Semilight" w:asciiTheme="minorEastAsia" w:hAnsiTheme="minorEastAsia"/>
          <w:b w:val="0"/>
          <w:sz w:val="24"/>
          <w:szCs w:val="24"/>
        </w:rPr>
        <w:t>。</w:t>
      </w:r>
    </w:p>
    <w:p>
      <w:pPr>
        <w:pStyle w:val="10"/>
        <w:spacing w:before="0" w:after="0" w:line="360" w:lineRule="auto"/>
        <w:ind w:firstLine="480" w:firstLineChars="200"/>
        <w:jc w:val="left"/>
        <w:outlineLvl w:val="9"/>
        <w:rPr>
          <w:rFonts w:cs="宋体" w:asciiTheme="minorEastAsia" w:hAnsiTheme="minorEastAsia"/>
          <w:b w:val="0"/>
          <w:sz w:val="24"/>
          <w:szCs w:val="24"/>
        </w:rPr>
      </w:pPr>
      <w:r>
        <w:rPr>
          <w:rFonts w:hint="eastAsia" w:cs="宋体" w:asciiTheme="minorEastAsia" w:hAnsiTheme="minorEastAsia"/>
          <w:b w:val="0"/>
          <w:sz w:val="24"/>
          <w:szCs w:val="24"/>
        </w:rPr>
        <w:t>2019年共报告肿瘤死亡个案2042例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报告死亡率为162.61/10万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在报告的肿瘤死亡病例中</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恶性肿瘤2033例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占99.56%。恶性肿瘤按性别分析</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男性死亡率212.72/10万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女性108.46/10万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男性明显高于女性</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恶性肿瘤按不同部位分析</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处于前5位的恶性肿瘤依次为肺癌、肝癌、胃癌、结肠</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结直肠和肛门癌、食管癌</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报告死亡率分别为39.26/10万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25.08/10万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20.15/10万、18.08/10万和15.84/10万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见表1.</w:t>
      </w:r>
    </w:p>
    <w:p>
      <w:pPr>
        <w:tabs>
          <w:tab w:val="left" w:pos="360"/>
        </w:tabs>
        <w:spacing w:beforeLines="50" w:line="360" w:lineRule="auto"/>
        <w:jc w:val="center"/>
        <w:rPr>
          <w:rFonts w:cs="宋体" w:asciiTheme="minorEastAsia" w:hAnsiTheme="minorEastAsia" w:eastAsiaTheme="minorEastAsia"/>
        </w:rPr>
      </w:pPr>
      <w:r>
        <w:rPr>
          <w:rFonts w:hint="eastAsia" w:cs="宋体" w:asciiTheme="minorEastAsia" w:hAnsiTheme="minorEastAsia" w:eastAsiaTheme="minorEastAsia"/>
        </w:rPr>
        <w:t>表1   2019年瑞安市男女肿瘤死亡率（1/10万）及构成情况（%）</w:t>
      </w:r>
    </w:p>
    <w:tbl>
      <w:tblPr>
        <w:tblStyle w:val="11"/>
        <w:tblW w:w="9700" w:type="dxa"/>
        <w:jc w:val="center"/>
        <w:tblLayout w:type="fixed"/>
        <w:tblCellMar>
          <w:top w:w="0" w:type="dxa"/>
          <w:left w:w="108" w:type="dxa"/>
          <w:bottom w:w="0" w:type="dxa"/>
          <w:right w:w="108" w:type="dxa"/>
        </w:tblCellMar>
      </w:tblPr>
      <w:tblGrid>
        <w:gridCol w:w="719"/>
        <w:gridCol w:w="759"/>
        <w:gridCol w:w="846"/>
        <w:gridCol w:w="760"/>
        <w:gridCol w:w="759"/>
        <w:gridCol w:w="779"/>
        <w:gridCol w:w="880"/>
        <w:gridCol w:w="760"/>
        <w:gridCol w:w="859"/>
        <w:gridCol w:w="819"/>
        <w:gridCol w:w="880"/>
        <w:gridCol w:w="880"/>
      </w:tblGrid>
      <w:tr>
        <w:tblPrEx>
          <w:tblCellMar>
            <w:top w:w="0" w:type="dxa"/>
            <w:left w:w="108" w:type="dxa"/>
            <w:bottom w:w="0" w:type="dxa"/>
            <w:right w:w="108" w:type="dxa"/>
          </w:tblCellMar>
        </w:tblPrEx>
        <w:trPr>
          <w:trHeight w:val="270" w:hRule="atLeast"/>
          <w:jc w:val="center"/>
        </w:trPr>
        <w:tc>
          <w:tcPr>
            <w:tcW w:w="719" w:type="dxa"/>
            <w:vMerge w:val="restart"/>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死因</w:t>
            </w:r>
          </w:p>
        </w:tc>
        <w:tc>
          <w:tcPr>
            <w:tcW w:w="2365" w:type="dxa"/>
            <w:gridSpan w:val="3"/>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男</w:t>
            </w:r>
          </w:p>
        </w:tc>
        <w:tc>
          <w:tcPr>
            <w:tcW w:w="759" w:type="dxa"/>
            <w:vMerge w:val="restart"/>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死因</w:t>
            </w:r>
          </w:p>
        </w:tc>
        <w:tc>
          <w:tcPr>
            <w:tcW w:w="2419" w:type="dxa"/>
            <w:gridSpan w:val="3"/>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女</w:t>
            </w:r>
          </w:p>
        </w:tc>
        <w:tc>
          <w:tcPr>
            <w:tcW w:w="859" w:type="dxa"/>
            <w:vMerge w:val="restart"/>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死因</w:t>
            </w:r>
          </w:p>
        </w:tc>
        <w:tc>
          <w:tcPr>
            <w:tcW w:w="2579" w:type="dxa"/>
            <w:gridSpan w:val="3"/>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合计</w:t>
            </w:r>
          </w:p>
        </w:tc>
      </w:tr>
      <w:tr>
        <w:tblPrEx>
          <w:tblCellMar>
            <w:top w:w="0" w:type="dxa"/>
            <w:left w:w="108" w:type="dxa"/>
            <w:bottom w:w="0" w:type="dxa"/>
            <w:right w:w="108" w:type="dxa"/>
          </w:tblCellMar>
        </w:tblPrEx>
        <w:trPr>
          <w:trHeight w:val="270" w:hRule="atLeast"/>
          <w:jc w:val="center"/>
        </w:trPr>
        <w:tc>
          <w:tcPr>
            <w:tcW w:w="719" w:type="dxa"/>
            <w:vMerge w:val="continue"/>
            <w:tcBorders>
              <w:top w:val="single" w:color="000000" w:sz="4" w:space="0"/>
              <w:left w:val="nil"/>
              <w:bottom w:val="single" w:color="000000" w:sz="4" w:space="0"/>
              <w:right w:val="nil"/>
            </w:tcBorders>
            <w:vAlign w:val="center"/>
          </w:tcPr>
          <w:p>
            <w:pPr>
              <w:adjustRightInd/>
              <w:snapToGrid/>
              <w:spacing w:after="0" w:line="360" w:lineRule="auto"/>
              <w:rPr>
                <w:rFonts w:cs="宋体" w:asciiTheme="minorEastAsia" w:hAnsiTheme="minorEastAsia" w:eastAsiaTheme="minorEastAsia"/>
                <w:color w:val="000000"/>
                <w:sz w:val="18"/>
                <w:szCs w:val="18"/>
              </w:rPr>
            </w:pPr>
          </w:p>
        </w:tc>
        <w:tc>
          <w:tcPr>
            <w:tcW w:w="759"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死亡数</w:t>
            </w:r>
          </w:p>
        </w:tc>
        <w:tc>
          <w:tcPr>
            <w:tcW w:w="846"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构成比</w:t>
            </w:r>
          </w:p>
        </w:tc>
        <w:tc>
          <w:tcPr>
            <w:tcW w:w="760"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死亡率</w:t>
            </w:r>
          </w:p>
        </w:tc>
        <w:tc>
          <w:tcPr>
            <w:tcW w:w="759" w:type="dxa"/>
            <w:vMerge w:val="continue"/>
            <w:tcBorders>
              <w:top w:val="single" w:color="000000" w:sz="4" w:space="0"/>
              <w:left w:val="nil"/>
              <w:bottom w:val="single" w:color="000000" w:sz="4" w:space="0"/>
              <w:right w:val="nil"/>
            </w:tcBorders>
            <w:vAlign w:val="center"/>
          </w:tcPr>
          <w:p>
            <w:pPr>
              <w:adjustRightInd/>
              <w:snapToGrid/>
              <w:spacing w:after="0" w:line="360" w:lineRule="auto"/>
              <w:rPr>
                <w:rFonts w:cs="宋体" w:asciiTheme="minorEastAsia" w:hAnsiTheme="minorEastAsia" w:eastAsiaTheme="minorEastAsia"/>
                <w:color w:val="000000"/>
                <w:sz w:val="18"/>
                <w:szCs w:val="18"/>
              </w:rPr>
            </w:pPr>
          </w:p>
        </w:tc>
        <w:tc>
          <w:tcPr>
            <w:tcW w:w="779"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死亡数</w:t>
            </w:r>
          </w:p>
        </w:tc>
        <w:tc>
          <w:tcPr>
            <w:tcW w:w="880"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构成比</w:t>
            </w:r>
          </w:p>
        </w:tc>
        <w:tc>
          <w:tcPr>
            <w:tcW w:w="760"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死亡率</w:t>
            </w:r>
          </w:p>
        </w:tc>
        <w:tc>
          <w:tcPr>
            <w:tcW w:w="859" w:type="dxa"/>
            <w:vMerge w:val="continue"/>
            <w:tcBorders>
              <w:top w:val="single" w:color="000000" w:sz="4" w:space="0"/>
              <w:left w:val="nil"/>
              <w:bottom w:val="single" w:color="000000" w:sz="4" w:space="0"/>
              <w:right w:val="nil"/>
            </w:tcBorders>
            <w:vAlign w:val="center"/>
          </w:tcPr>
          <w:p>
            <w:pPr>
              <w:adjustRightInd/>
              <w:snapToGrid/>
              <w:spacing w:after="0" w:line="360" w:lineRule="auto"/>
              <w:rPr>
                <w:rFonts w:cs="宋体" w:asciiTheme="minorEastAsia" w:hAnsiTheme="minorEastAsia" w:eastAsiaTheme="minorEastAsia"/>
                <w:color w:val="000000"/>
                <w:sz w:val="18"/>
                <w:szCs w:val="18"/>
              </w:rPr>
            </w:pPr>
          </w:p>
        </w:tc>
        <w:tc>
          <w:tcPr>
            <w:tcW w:w="819"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死亡数</w:t>
            </w:r>
          </w:p>
        </w:tc>
        <w:tc>
          <w:tcPr>
            <w:tcW w:w="880"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构成比</w:t>
            </w:r>
          </w:p>
        </w:tc>
        <w:tc>
          <w:tcPr>
            <w:tcW w:w="880"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死亡率</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肺癌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341</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24.80%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52.99</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肺癌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152</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22.79%</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24.83</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肺癌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493</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24.14%</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39.26</w:t>
            </w:r>
          </w:p>
        </w:tc>
      </w:tr>
      <w:tr>
        <w:tblPrEx>
          <w:tblCellMar>
            <w:top w:w="0" w:type="dxa"/>
            <w:left w:w="108" w:type="dxa"/>
            <w:bottom w:w="0" w:type="dxa"/>
            <w:right w:w="108" w:type="dxa"/>
          </w:tblCellMar>
        </w:tblPrEx>
        <w:trPr>
          <w:trHeight w:val="45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肝癌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230</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16.73%</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35.74</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其他恶性肿瘤</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94</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14.09%</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15.35</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肝癌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315</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15.43%</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25.08</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胃癌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191</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13.89%</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29.68</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肝癌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85</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12.74%</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13.88</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胃癌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253</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12.39%</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20.15</w:t>
            </w:r>
          </w:p>
        </w:tc>
      </w:tr>
      <w:tr>
        <w:tblPrEx>
          <w:tblCellMar>
            <w:top w:w="0" w:type="dxa"/>
            <w:left w:w="108" w:type="dxa"/>
            <w:bottom w:w="0" w:type="dxa"/>
            <w:right w:w="108" w:type="dxa"/>
          </w:tblCellMar>
        </w:tblPrEx>
        <w:trPr>
          <w:trHeight w:val="45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结直肠肛门癌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164</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11.93%</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25.48</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结直肠肛门癌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63</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9.45%</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10.29</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其他恶性肿瘤</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240</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11.75%</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19.11</w:t>
            </w:r>
          </w:p>
        </w:tc>
      </w:tr>
      <w:tr>
        <w:tblPrEx>
          <w:tblCellMar>
            <w:top w:w="0" w:type="dxa"/>
            <w:left w:w="108" w:type="dxa"/>
            <w:bottom w:w="0" w:type="dxa"/>
            <w:right w:w="108" w:type="dxa"/>
          </w:tblCellMar>
        </w:tblPrEx>
        <w:trPr>
          <w:trHeight w:val="45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其他恶性肿瘤</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146</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10.62%</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22.69</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胃癌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62</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9.30%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10.13</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bCs/>
                <w:color w:val="000000"/>
                <w:sz w:val="18"/>
                <w:szCs w:val="18"/>
              </w:rPr>
            </w:pPr>
            <w:r>
              <w:rPr>
                <w:rFonts w:hint="eastAsia" w:cs="宋体" w:asciiTheme="minorEastAsia" w:hAnsiTheme="minorEastAsia" w:eastAsiaTheme="minorEastAsia"/>
                <w:bCs/>
                <w:color w:val="000000"/>
                <w:sz w:val="18"/>
                <w:szCs w:val="18"/>
              </w:rPr>
              <w:t>结直肠肛门癌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227</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11.12%</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bCs/>
                <w:color w:val="000000"/>
                <w:sz w:val="18"/>
                <w:szCs w:val="18"/>
              </w:rPr>
            </w:pPr>
            <w:r>
              <w:rPr>
                <w:rFonts w:cs="Times New Roman" w:asciiTheme="minorEastAsia" w:hAnsiTheme="minorEastAsia" w:eastAsiaTheme="minorEastAsia"/>
                <w:bCs/>
                <w:color w:val="000000"/>
                <w:sz w:val="18"/>
                <w:szCs w:val="18"/>
              </w:rPr>
              <w:t>18.08</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食道癌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90</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6.55%</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14.7</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乳腺癌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44</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6.60%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7.19</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食道癌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97</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4.75%</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15.84</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胰腺癌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41</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2.98%</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6.37</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宫颈癌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43</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6.45%</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7.02</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脑神经癌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66</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3.23%</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10.78</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前列腺癌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37</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2.69%</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5.75</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脑神经癌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31</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4.65%</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5.06</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胰腺癌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65</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3.18%</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5.18</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脑神经癌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35</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2.55%</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5.72</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胰腺癌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24</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3.60%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3.92</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乳腺癌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44</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2.15%</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3.5</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膀胱癌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33</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2.40%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5.13</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白血病</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20</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3.00%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3.27</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宫颈癌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43</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2.11%</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FF0000"/>
                <w:sz w:val="18"/>
                <w:szCs w:val="18"/>
              </w:rPr>
            </w:pPr>
            <w:r>
              <w:rPr>
                <w:rFonts w:cs="Times New Roman" w:asciiTheme="minorEastAsia" w:hAnsiTheme="minorEastAsia" w:eastAsiaTheme="minorEastAsia"/>
                <w:color w:val="FF0000"/>
                <w:sz w:val="18"/>
                <w:szCs w:val="18"/>
              </w:rPr>
              <w:t>7.02</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鼻咽癌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30</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2.18%</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4.66</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卵巢癌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17</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2.55%</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2.78</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白血病</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39</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1.91%</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3.11</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白血病</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19</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1.38%</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2.95</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胆囊癌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1.50%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1.63</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膀胱癌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39</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1.91%</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3.11</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胆囊癌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12</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0.87%</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1.86</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食道癌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1.05%</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1.14</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前列腺癌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37</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1.81%</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FF0000"/>
                <w:sz w:val="18"/>
                <w:szCs w:val="18"/>
              </w:rPr>
            </w:pPr>
            <w:r>
              <w:rPr>
                <w:rFonts w:cs="Times New Roman" w:asciiTheme="minorEastAsia" w:hAnsiTheme="minorEastAsia" w:eastAsiaTheme="minorEastAsia"/>
                <w:color w:val="FF0000"/>
                <w:sz w:val="18"/>
                <w:szCs w:val="18"/>
              </w:rPr>
              <w:t>5.75</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其他肿瘤</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0.36%</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0.78</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鼻咽癌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0.90%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0.93</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鼻咽癌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36</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1.76%</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5.59</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良性肿瘤</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0.07%</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0.16</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膀胱癌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0.90%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0.98</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胆囊癌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22</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1.08%</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1.75</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宫颈癌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0.00%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其他肿瘤</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0.30%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0.33</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卵巢癌</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17</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0.83%</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FF0000"/>
                <w:sz w:val="18"/>
                <w:szCs w:val="18"/>
              </w:rPr>
            </w:pPr>
            <w:r>
              <w:rPr>
                <w:rFonts w:cs="Times New Roman" w:asciiTheme="minorEastAsia" w:hAnsiTheme="minorEastAsia" w:eastAsiaTheme="minorEastAsia"/>
                <w:color w:val="FF0000"/>
                <w:sz w:val="18"/>
                <w:szCs w:val="18"/>
              </w:rPr>
              <w:t>2.78</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卵巢癌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0.00%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良性肿瘤</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0.15%</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0.16</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其他肿瘤</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7</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0.34%</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0.56</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乳腺癌</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0.00%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前列腺癌</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0.00%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良性肿瘤</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2</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0.10%</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0.16</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总计</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1375</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100.00%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213.65</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总计</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667</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100.00%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108.95</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总计</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2042</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100.00%</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162.61</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恶性肿瘤</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1369</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99.56%</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212.72</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恶性肿瘤</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664</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99.55%</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108.46</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恶性肿瘤</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2033</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99.56%</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161.89</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良性肿瘤</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0.07%</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0.16</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良性肿瘤</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0.15%</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0.16</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良性肿瘤</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0.10%</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0.16</w:t>
            </w:r>
          </w:p>
        </w:tc>
      </w:tr>
      <w:tr>
        <w:tblPrEx>
          <w:tblCellMar>
            <w:top w:w="0" w:type="dxa"/>
            <w:left w:w="108" w:type="dxa"/>
            <w:bottom w:w="0" w:type="dxa"/>
            <w:right w:w="108" w:type="dxa"/>
          </w:tblCellMar>
        </w:tblPrEx>
        <w:trPr>
          <w:trHeight w:val="270" w:hRule="atLeast"/>
          <w:jc w:val="center"/>
        </w:trPr>
        <w:tc>
          <w:tcPr>
            <w:tcW w:w="7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其他肿瘤</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5</w:t>
            </w:r>
          </w:p>
        </w:tc>
        <w:tc>
          <w:tcPr>
            <w:tcW w:w="846"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0.36%</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0.78</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其他肿瘤</w:t>
            </w:r>
          </w:p>
        </w:tc>
        <w:tc>
          <w:tcPr>
            <w:tcW w:w="77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0.30%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0.33</w:t>
            </w:r>
          </w:p>
        </w:tc>
        <w:tc>
          <w:tcPr>
            <w:tcW w:w="85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其他肿瘤</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7</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0.34%</w:t>
            </w:r>
          </w:p>
        </w:tc>
        <w:tc>
          <w:tcPr>
            <w:tcW w:w="880"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0.56</w:t>
            </w:r>
          </w:p>
        </w:tc>
      </w:tr>
      <w:tr>
        <w:tblPrEx>
          <w:tblCellMar>
            <w:top w:w="0" w:type="dxa"/>
            <w:left w:w="108" w:type="dxa"/>
            <w:bottom w:w="0" w:type="dxa"/>
            <w:right w:w="108" w:type="dxa"/>
          </w:tblCellMar>
        </w:tblPrEx>
        <w:trPr>
          <w:trHeight w:val="270" w:hRule="atLeast"/>
          <w:jc w:val="center"/>
        </w:trPr>
        <w:tc>
          <w:tcPr>
            <w:tcW w:w="719"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总计</w:t>
            </w:r>
          </w:p>
        </w:tc>
        <w:tc>
          <w:tcPr>
            <w:tcW w:w="759"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1375</w:t>
            </w:r>
          </w:p>
        </w:tc>
        <w:tc>
          <w:tcPr>
            <w:tcW w:w="846"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100.00%</w:t>
            </w:r>
          </w:p>
        </w:tc>
        <w:tc>
          <w:tcPr>
            <w:tcW w:w="760"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213.65</w:t>
            </w:r>
          </w:p>
        </w:tc>
        <w:tc>
          <w:tcPr>
            <w:tcW w:w="759"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总计</w:t>
            </w:r>
          </w:p>
        </w:tc>
        <w:tc>
          <w:tcPr>
            <w:tcW w:w="779"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667</w:t>
            </w:r>
          </w:p>
        </w:tc>
        <w:tc>
          <w:tcPr>
            <w:tcW w:w="880"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100.00%</w:t>
            </w:r>
          </w:p>
        </w:tc>
        <w:tc>
          <w:tcPr>
            <w:tcW w:w="760"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108.95</w:t>
            </w:r>
          </w:p>
        </w:tc>
        <w:tc>
          <w:tcPr>
            <w:tcW w:w="859"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总计</w:t>
            </w:r>
          </w:p>
        </w:tc>
        <w:tc>
          <w:tcPr>
            <w:tcW w:w="819"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2042</w:t>
            </w:r>
          </w:p>
        </w:tc>
        <w:tc>
          <w:tcPr>
            <w:tcW w:w="880"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100.00%</w:t>
            </w:r>
          </w:p>
        </w:tc>
        <w:tc>
          <w:tcPr>
            <w:tcW w:w="880" w:type="dxa"/>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162.61</w:t>
            </w:r>
          </w:p>
        </w:tc>
      </w:tr>
    </w:tbl>
    <w:p>
      <w:pPr>
        <w:spacing w:line="360" w:lineRule="auto"/>
        <w:ind w:firstLine="360" w:firstLineChars="200"/>
        <w:rPr>
          <w:rFonts w:cs="宋体" w:asciiTheme="minorEastAsia" w:hAnsiTheme="minorEastAsia" w:eastAsiaTheme="minorEastAsia"/>
          <w:sz w:val="18"/>
          <w:szCs w:val="18"/>
        </w:rPr>
      </w:pPr>
      <w:r>
        <w:rPr>
          <w:rFonts w:hint="eastAsia" w:cs="宋体" w:asciiTheme="minorEastAsia" w:hAnsiTheme="minorEastAsia" w:eastAsiaTheme="minorEastAsia"/>
          <w:sz w:val="18"/>
          <w:szCs w:val="18"/>
        </w:rPr>
        <w:t>备注 * 宫颈癌、卵巢癌死亡率以女性人口计算，前列腺癌死亡率以男性人口计算。</w:t>
      </w:r>
    </w:p>
    <w:p>
      <w:pPr>
        <w:pStyle w:val="10"/>
        <w:spacing w:before="0" w:after="0" w:line="360" w:lineRule="auto"/>
        <w:ind w:firstLine="440" w:firstLineChars="200"/>
        <w:jc w:val="left"/>
        <w:outlineLvl w:val="9"/>
        <w:rPr>
          <w:rFonts w:cs="Malgun Gothic Semilight" w:asciiTheme="minorEastAsia" w:hAnsiTheme="minorEastAsia"/>
          <w:b w:val="0"/>
          <w:sz w:val="22"/>
          <w:szCs w:val="22"/>
        </w:rPr>
      </w:pPr>
      <w:r>
        <w:rPr>
          <w:rFonts w:hint="eastAsia" w:cs="宋体" w:asciiTheme="minorEastAsia" w:hAnsiTheme="minorEastAsia"/>
          <w:b w:val="0"/>
          <w:sz w:val="22"/>
          <w:szCs w:val="22"/>
        </w:rPr>
        <w:t>2019年瑞安市居民肿瘤死亡年龄自35岁起呈明显递增趋势</w:t>
      </w:r>
      <w:r>
        <w:rPr>
          <w:rFonts w:hint="eastAsia" w:cs="Malgun Gothic Semilight" w:asciiTheme="minorEastAsia" w:hAnsiTheme="minorEastAsia"/>
          <w:b w:val="0"/>
          <w:sz w:val="22"/>
          <w:szCs w:val="22"/>
        </w:rPr>
        <w:t>，</w:t>
      </w:r>
      <w:r>
        <w:rPr>
          <w:rFonts w:hint="eastAsia" w:cs="宋体" w:asciiTheme="minorEastAsia" w:hAnsiTheme="minorEastAsia"/>
          <w:b w:val="0"/>
          <w:sz w:val="22"/>
          <w:szCs w:val="22"/>
        </w:rPr>
        <w:t>至75岁达到峰值后有所回落</w:t>
      </w:r>
      <w:r>
        <w:rPr>
          <w:rFonts w:hint="eastAsia" w:cs="Malgun Gothic Semilight" w:asciiTheme="minorEastAsia" w:hAnsiTheme="minorEastAsia"/>
          <w:b w:val="0"/>
          <w:sz w:val="22"/>
          <w:szCs w:val="22"/>
        </w:rPr>
        <w:t>。</w:t>
      </w:r>
      <w:r>
        <w:rPr>
          <w:rFonts w:hint="eastAsia" w:cs="宋体" w:asciiTheme="minorEastAsia" w:hAnsiTheme="minorEastAsia"/>
          <w:b w:val="0"/>
          <w:sz w:val="22"/>
          <w:szCs w:val="22"/>
        </w:rPr>
        <w:t>见图4.</w:t>
      </w:r>
    </w:p>
    <w:p>
      <w:pPr>
        <w:pStyle w:val="10"/>
        <w:spacing w:after="0" w:line="360" w:lineRule="auto"/>
        <w:ind w:left="1760" w:leftChars="200" w:hanging="1320" w:hangingChars="600"/>
        <w:jc w:val="left"/>
        <w:rPr>
          <w:rFonts w:ascii="宋体" w:hAnsi="宋体" w:eastAsia="宋体" w:cs="宋体"/>
          <w:b w:val="0"/>
          <w:sz w:val="22"/>
          <w:szCs w:val="22"/>
        </w:rPr>
      </w:pPr>
      <w:r>
        <w:rPr>
          <w:rFonts w:ascii="宋体" w:hAnsi="宋体" w:eastAsia="宋体" w:cs="宋体"/>
          <w:b w:val="0"/>
          <w:sz w:val="22"/>
          <w:szCs w:val="22"/>
        </w:rPr>
        <w:drawing>
          <wp:inline distT="0" distB="0" distL="0" distR="0">
            <wp:extent cx="4572000" cy="2743200"/>
            <wp:effectExtent l="19050" t="0" r="19050" b="0"/>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10"/>
        <w:spacing w:after="0" w:line="360" w:lineRule="auto"/>
        <w:ind w:left="1760" w:leftChars="200" w:hanging="1320" w:hangingChars="600"/>
        <w:jc w:val="left"/>
        <w:rPr>
          <w:rFonts w:ascii="宋体" w:hAnsi="宋体" w:eastAsia="宋体" w:cs="宋体"/>
          <w:b w:val="0"/>
          <w:sz w:val="22"/>
          <w:szCs w:val="22"/>
        </w:rPr>
      </w:pPr>
      <w:r>
        <w:rPr>
          <w:rFonts w:hint="eastAsia" w:ascii="宋体" w:hAnsi="宋体" w:eastAsia="宋体" w:cs="宋体"/>
          <w:b w:val="0"/>
          <w:sz w:val="22"/>
          <w:szCs w:val="22"/>
        </w:rPr>
        <w:t>图4   2019年瑞安市肿瘤分性别、分年龄报告死亡率</w:t>
      </w:r>
      <w:r>
        <w:rPr>
          <w:rFonts w:hint="eastAsia" w:ascii="宋体" w:hAnsi="宋体" w:cs="宋体"/>
          <w:b w:val="0"/>
          <w:sz w:val="22"/>
          <w:szCs w:val="22"/>
        </w:rPr>
        <w:t>（1/10万）</w:t>
      </w:r>
    </w:p>
    <w:p>
      <w:pPr>
        <w:pStyle w:val="10"/>
        <w:spacing w:before="0" w:after="0" w:line="360" w:lineRule="auto"/>
        <w:ind w:firstLine="480" w:firstLineChars="200"/>
        <w:jc w:val="left"/>
        <w:outlineLvl w:val="9"/>
        <w:rPr>
          <w:rFonts w:cs="Malgun Gothic Semilight" w:asciiTheme="minorEastAsia" w:hAnsiTheme="minorEastAsia"/>
          <w:b w:val="0"/>
          <w:sz w:val="24"/>
          <w:szCs w:val="24"/>
        </w:rPr>
      </w:pPr>
      <w:r>
        <w:rPr>
          <w:rFonts w:hint="eastAsia" w:cs="宋体" w:asciiTheme="minorEastAsia" w:hAnsiTheme="minorEastAsia"/>
          <w:b w:val="0"/>
          <w:sz w:val="24"/>
          <w:szCs w:val="24"/>
        </w:rPr>
        <w:t>2015-2019年瑞安市居民肿瘤死亡水平整体趋势基本上缓慢递减</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见图5.</w:t>
      </w:r>
    </w:p>
    <w:p>
      <w:pPr>
        <w:pStyle w:val="10"/>
        <w:spacing w:before="0" w:after="0" w:line="360" w:lineRule="auto"/>
        <w:outlineLvl w:val="9"/>
        <w:rPr>
          <w:rFonts w:ascii="Malgun Gothic Semilight" w:hAnsi="Malgun Gothic Semilight" w:eastAsia="Malgun Gothic Semilight" w:cs="Malgun Gothic Semilight"/>
          <w:b w:val="0"/>
          <w:sz w:val="22"/>
          <w:szCs w:val="22"/>
        </w:rPr>
      </w:pPr>
      <w:r>
        <w:rPr>
          <w:rFonts w:ascii="Malgun Gothic Semilight" w:hAnsi="Malgun Gothic Semilight" w:eastAsia="Malgun Gothic Semilight" w:cs="Malgun Gothic Semilight"/>
          <w:b w:val="0"/>
          <w:sz w:val="22"/>
          <w:szCs w:val="22"/>
        </w:rPr>
        <w:drawing>
          <wp:inline distT="0" distB="0" distL="0" distR="0">
            <wp:extent cx="4572000" cy="2743200"/>
            <wp:effectExtent l="19050" t="0" r="19050" b="0"/>
            <wp:docPr id="1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10"/>
        <w:spacing w:after="0" w:line="360" w:lineRule="auto"/>
        <w:ind w:left="1760" w:leftChars="200" w:hanging="1320" w:hangingChars="600"/>
        <w:jc w:val="left"/>
        <w:rPr>
          <w:rFonts w:ascii="宋体" w:hAnsi="宋体" w:eastAsia="宋体" w:cs="宋体"/>
          <w:b w:val="0"/>
          <w:sz w:val="22"/>
          <w:szCs w:val="22"/>
        </w:rPr>
      </w:pPr>
      <w:r>
        <w:rPr>
          <w:rFonts w:hint="eastAsia" w:ascii="宋体" w:hAnsi="宋体" w:eastAsia="宋体" w:cs="宋体"/>
          <w:b w:val="0"/>
          <w:sz w:val="22"/>
          <w:szCs w:val="22"/>
        </w:rPr>
        <w:t>图5   2015-2019年瑞安市分性别肿瘤死亡率</w:t>
      </w:r>
      <w:r>
        <w:rPr>
          <w:rFonts w:hint="eastAsia" w:ascii="宋体" w:hAnsi="宋体" w:cs="宋体"/>
          <w:b w:val="0"/>
          <w:sz w:val="22"/>
          <w:szCs w:val="22"/>
        </w:rPr>
        <w:t>（1/10万）</w:t>
      </w:r>
    </w:p>
    <w:p>
      <w:pPr>
        <w:pStyle w:val="10"/>
        <w:spacing w:after="0" w:line="360" w:lineRule="auto"/>
        <w:jc w:val="left"/>
        <w:rPr>
          <w:rFonts w:cs="宋体" w:asciiTheme="minorEastAsia" w:hAnsiTheme="minorEastAsia"/>
          <w:sz w:val="24"/>
          <w:szCs w:val="24"/>
        </w:rPr>
      </w:pPr>
      <w:r>
        <w:rPr>
          <w:rFonts w:hint="eastAsia" w:cs="宋体" w:asciiTheme="minorEastAsia" w:hAnsiTheme="minorEastAsia"/>
          <w:sz w:val="24"/>
          <w:szCs w:val="24"/>
        </w:rPr>
        <w:t>4.2 循环系统疾病</w:t>
      </w:r>
    </w:p>
    <w:p>
      <w:pPr>
        <w:pStyle w:val="10"/>
        <w:spacing w:before="0" w:after="0" w:line="360" w:lineRule="auto"/>
        <w:ind w:firstLine="480" w:firstLineChars="200"/>
        <w:jc w:val="left"/>
        <w:outlineLvl w:val="9"/>
        <w:rPr>
          <w:rFonts w:cs="Malgun Gothic Semilight" w:asciiTheme="minorEastAsia" w:hAnsiTheme="minorEastAsia"/>
          <w:b w:val="0"/>
          <w:sz w:val="24"/>
          <w:szCs w:val="24"/>
        </w:rPr>
      </w:pPr>
      <w:r>
        <w:rPr>
          <w:rFonts w:hint="eastAsia" w:cs="宋体" w:asciiTheme="minorEastAsia" w:hAnsiTheme="minorEastAsia"/>
          <w:b w:val="0"/>
          <w:sz w:val="24"/>
          <w:szCs w:val="24"/>
        </w:rPr>
        <w:t>2015年共报告循环系统疾病死亡病例2687例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报告死亡率为258.91/10万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2016年共报告循环系统疾病死亡病例2708例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报告死亡率为244.10/10万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2017年共报告循环系统疾病死亡病例2808例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报告死亡率为253.39/10万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2018年共报告循环系统疾病死亡病例2884例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报告死亡率为260.46/10万</w:t>
      </w:r>
      <w:r>
        <w:rPr>
          <w:rFonts w:hint="eastAsia" w:cs="Malgun Gothic Semilight" w:asciiTheme="minorEastAsia" w:hAnsiTheme="minorEastAsia"/>
          <w:b w:val="0"/>
          <w:sz w:val="24"/>
          <w:szCs w:val="24"/>
        </w:rPr>
        <w:t>；</w:t>
      </w:r>
    </w:p>
    <w:p>
      <w:pPr>
        <w:tabs>
          <w:tab w:val="left" w:pos="360"/>
        </w:tabs>
        <w:spacing w:after="0"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2019年共报告循环系统疾病死亡个案2798例</w:t>
      </w:r>
      <w:r>
        <w:rPr>
          <w:rFonts w:hint="eastAsia" w:cs="Malgun Gothic Semilight" w:asciiTheme="minorEastAsia" w:hAnsiTheme="minorEastAsia" w:eastAsiaTheme="minorEastAsia"/>
          <w:sz w:val="24"/>
          <w:szCs w:val="24"/>
        </w:rPr>
        <w:t>，</w:t>
      </w:r>
      <w:r>
        <w:rPr>
          <w:rFonts w:hint="eastAsia" w:cs="宋体" w:asciiTheme="minorEastAsia" w:hAnsiTheme="minorEastAsia" w:eastAsiaTheme="minorEastAsia"/>
          <w:sz w:val="24"/>
          <w:szCs w:val="24"/>
        </w:rPr>
        <w:t>报告死亡率为222.81/10万</w:t>
      </w:r>
      <w:r>
        <w:rPr>
          <w:rFonts w:hint="eastAsia" w:cs="Malgun Gothic Semilight" w:asciiTheme="minorEastAsia" w:hAnsiTheme="minorEastAsia" w:eastAsiaTheme="minorEastAsia"/>
          <w:sz w:val="24"/>
          <w:szCs w:val="24"/>
        </w:rPr>
        <w:t>。</w:t>
      </w:r>
      <w:r>
        <w:rPr>
          <w:rFonts w:hint="eastAsia" w:cs="宋体" w:asciiTheme="minorEastAsia" w:hAnsiTheme="minorEastAsia" w:eastAsiaTheme="minorEastAsia"/>
          <w:sz w:val="24"/>
          <w:szCs w:val="24"/>
        </w:rPr>
        <w:t>其中男女死亡率分别为233.07/10万、212.02/10万。男性高于女性。主要循环系统疾病为脑血管疾病和心脏病，死亡率分别为110.29/10万、104.95/10万。见图6.</w:t>
      </w:r>
    </w:p>
    <w:p>
      <w:pPr>
        <w:tabs>
          <w:tab w:val="left" w:pos="360"/>
        </w:tabs>
        <w:spacing w:after="0" w:line="360" w:lineRule="auto"/>
        <w:ind w:firstLine="480" w:firstLineChars="200"/>
        <w:rPr>
          <w:rFonts w:cs="宋体" w:asciiTheme="minorEastAsia" w:hAnsiTheme="minorEastAsia" w:eastAsiaTheme="minorEastAsia"/>
          <w:sz w:val="24"/>
          <w:szCs w:val="24"/>
        </w:rPr>
      </w:pPr>
    </w:p>
    <w:p>
      <w:pPr>
        <w:pStyle w:val="10"/>
        <w:spacing w:before="0" w:after="0" w:line="360" w:lineRule="auto"/>
        <w:rPr>
          <w:rFonts w:ascii="宋体" w:hAnsi="宋体" w:eastAsia="宋体" w:cs="宋体"/>
          <w:b w:val="0"/>
          <w:sz w:val="22"/>
          <w:szCs w:val="22"/>
        </w:rPr>
      </w:pPr>
      <w:r>
        <w:rPr>
          <w:rFonts w:ascii="宋体" w:hAnsi="宋体" w:eastAsia="宋体" w:cs="宋体"/>
          <w:b w:val="0"/>
          <w:sz w:val="22"/>
          <w:szCs w:val="22"/>
        </w:rPr>
        <w:drawing>
          <wp:inline distT="0" distB="0" distL="0" distR="0">
            <wp:extent cx="4572000" cy="2743200"/>
            <wp:effectExtent l="19050" t="0" r="19050" b="0"/>
            <wp:docPr id="2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10"/>
        <w:spacing w:after="0" w:line="360" w:lineRule="auto"/>
        <w:ind w:firstLine="440" w:firstLineChars="200"/>
        <w:rPr>
          <w:rFonts w:cs="宋体" w:asciiTheme="minorEastAsia" w:hAnsiTheme="minorEastAsia"/>
          <w:b w:val="0"/>
          <w:sz w:val="22"/>
          <w:szCs w:val="22"/>
        </w:rPr>
      </w:pPr>
      <w:r>
        <w:rPr>
          <w:rFonts w:hint="eastAsia" w:cs="宋体" w:asciiTheme="minorEastAsia" w:hAnsiTheme="minorEastAsia"/>
          <w:b w:val="0"/>
          <w:sz w:val="22"/>
          <w:szCs w:val="22"/>
        </w:rPr>
        <w:t>图6   2015-2019年瑞安市循环系统疾病死亡率（1/10万）</w:t>
      </w:r>
    </w:p>
    <w:p>
      <w:pPr>
        <w:pStyle w:val="10"/>
        <w:spacing w:before="0" w:after="0" w:line="360" w:lineRule="auto"/>
        <w:ind w:firstLine="480" w:firstLineChars="200"/>
        <w:jc w:val="left"/>
        <w:outlineLvl w:val="9"/>
        <w:rPr>
          <w:rFonts w:cs="Malgun Gothic Semilight" w:asciiTheme="minorEastAsia" w:hAnsiTheme="minorEastAsia"/>
          <w:b w:val="0"/>
          <w:sz w:val="24"/>
          <w:szCs w:val="24"/>
        </w:rPr>
      </w:pPr>
      <w:r>
        <w:rPr>
          <w:rFonts w:hint="eastAsia" w:cs="宋体" w:asciiTheme="minorEastAsia" w:hAnsiTheme="minorEastAsia"/>
          <w:b w:val="0"/>
          <w:sz w:val="24"/>
          <w:szCs w:val="24"/>
        </w:rPr>
        <w:t>由图6可见</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2015-2019年瑞安市循环系统疾病死亡水平呈波动趋势</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男性变化情况则与女性情况基本一致</w:t>
      </w:r>
      <w:r>
        <w:rPr>
          <w:rFonts w:hint="eastAsia" w:cs="Malgun Gothic Semilight" w:asciiTheme="minorEastAsia" w:hAnsiTheme="minorEastAsia"/>
          <w:b w:val="0"/>
          <w:sz w:val="24"/>
          <w:szCs w:val="24"/>
        </w:rPr>
        <w:t>。</w:t>
      </w:r>
    </w:p>
    <w:p>
      <w:pPr>
        <w:pStyle w:val="10"/>
        <w:spacing w:after="0" w:line="360" w:lineRule="auto"/>
        <w:jc w:val="left"/>
        <w:rPr>
          <w:rFonts w:cs="宋体" w:asciiTheme="minorEastAsia" w:hAnsiTheme="minorEastAsia"/>
          <w:sz w:val="24"/>
          <w:szCs w:val="24"/>
        </w:rPr>
      </w:pPr>
      <w:r>
        <w:rPr>
          <w:rFonts w:hint="eastAsia" w:cs="宋体" w:asciiTheme="minorEastAsia" w:hAnsiTheme="minorEastAsia"/>
          <w:sz w:val="24"/>
          <w:szCs w:val="24"/>
        </w:rPr>
        <w:t>4.3呼吸系统疾病</w:t>
      </w:r>
    </w:p>
    <w:p>
      <w:pPr>
        <w:pStyle w:val="10"/>
        <w:spacing w:before="0" w:after="0" w:line="360" w:lineRule="auto"/>
        <w:ind w:firstLine="480" w:firstLineChars="200"/>
        <w:jc w:val="left"/>
        <w:outlineLvl w:val="9"/>
        <w:rPr>
          <w:rFonts w:cs="Malgun Gothic Semilight" w:asciiTheme="minorEastAsia" w:hAnsiTheme="minorEastAsia"/>
          <w:b w:val="0"/>
          <w:sz w:val="24"/>
          <w:szCs w:val="24"/>
        </w:rPr>
      </w:pPr>
      <w:r>
        <w:rPr>
          <w:rFonts w:hint="eastAsia" w:cs="宋体" w:asciiTheme="minorEastAsia" w:hAnsiTheme="minorEastAsia"/>
          <w:b w:val="0"/>
          <w:sz w:val="24"/>
          <w:szCs w:val="24"/>
        </w:rPr>
        <w:t>2015年共报告</w:t>
      </w:r>
      <w:r>
        <w:rPr>
          <w:rFonts w:hint="eastAsia" w:asciiTheme="minorEastAsia" w:hAnsiTheme="minorEastAsia"/>
          <w:b w:val="0"/>
          <w:sz w:val="24"/>
          <w:szCs w:val="24"/>
        </w:rPr>
        <w:t>慢性呼吸系统疾病</w:t>
      </w:r>
      <w:r>
        <w:rPr>
          <w:rFonts w:hint="eastAsia" w:cs="宋体" w:asciiTheme="minorEastAsia" w:hAnsiTheme="minorEastAsia"/>
          <w:b w:val="0"/>
          <w:sz w:val="24"/>
          <w:szCs w:val="24"/>
        </w:rPr>
        <w:t>死亡病例285例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报告死亡率为25.74/10万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2016年共报告</w:t>
      </w:r>
      <w:r>
        <w:rPr>
          <w:rFonts w:hint="eastAsia" w:asciiTheme="minorEastAsia" w:hAnsiTheme="minorEastAsia"/>
          <w:b w:val="0"/>
          <w:sz w:val="24"/>
          <w:szCs w:val="24"/>
        </w:rPr>
        <w:t>慢性呼吸系统疾病</w:t>
      </w:r>
      <w:r>
        <w:rPr>
          <w:rFonts w:hint="eastAsia" w:cs="宋体" w:asciiTheme="minorEastAsia" w:hAnsiTheme="minorEastAsia"/>
          <w:b w:val="0"/>
          <w:sz w:val="24"/>
          <w:szCs w:val="24"/>
        </w:rPr>
        <w:t>死亡病例321例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报告死亡率为28.93/10万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2017年共报告</w:t>
      </w:r>
      <w:r>
        <w:rPr>
          <w:rFonts w:hint="eastAsia" w:asciiTheme="minorEastAsia" w:hAnsiTheme="minorEastAsia"/>
          <w:b w:val="0"/>
          <w:sz w:val="24"/>
          <w:szCs w:val="24"/>
        </w:rPr>
        <w:t>慢性呼吸系统疾病</w:t>
      </w:r>
      <w:r>
        <w:rPr>
          <w:rFonts w:hint="eastAsia" w:cs="宋体" w:asciiTheme="minorEastAsia" w:hAnsiTheme="minorEastAsia"/>
          <w:b w:val="0"/>
          <w:sz w:val="24"/>
          <w:szCs w:val="24"/>
        </w:rPr>
        <w:t>死亡病例283例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报告死亡率为25.54/10万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2018年共报告</w:t>
      </w:r>
      <w:r>
        <w:rPr>
          <w:rFonts w:hint="eastAsia" w:asciiTheme="minorEastAsia" w:hAnsiTheme="minorEastAsia"/>
          <w:b w:val="0"/>
          <w:sz w:val="24"/>
          <w:szCs w:val="24"/>
        </w:rPr>
        <w:t>慢性呼吸系统疾病</w:t>
      </w:r>
      <w:r>
        <w:rPr>
          <w:rFonts w:hint="eastAsia" w:cs="宋体" w:asciiTheme="minorEastAsia" w:hAnsiTheme="minorEastAsia"/>
          <w:b w:val="0"/>
          <w:sz w:val="24"/>
          <w:szCs w:val="24"/>
        </w:rPr>
        <w:t>死亡病例247例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报告死亡率为22.31/10万</w:t>
      </w:r>
      <w:r>
        <w:rPr>
          <w:rFonts w:hint="eastAsia" w:cs="Malgun Gothic Semilight" w:asciiTheme="minorEastAsia" w:hAnsiTheme="minorEastAsia"/>
          <w:b w:val="0"/>
          <w:sz w:val="24"/>
          <w:szCs w:val="24"/>
        </w:rPr>
        <w:t>。</w:t>
      </w:r>
    </w:p>
    <w:p>
      <w:pPr>
        <w:tabs>
          <w:tab w:val="left" w:pos="360"/>
        </w:tabs>
        <w:spacing w:after="0"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2019年共报告</w:t>
      </w:r>
      <w:r>
        <w:rPr>
          <w:rFonts w:hint="eastAsia" w:asciiTheme="minorEastAsia" w:hAnsiTheme="minorEastAsia" w:eastAsiaTheme="minorEastAsia"/>
          <w:sz w:val="24"/>
          <w:szCs w:val="24"/>
        </w:rPr>
        <w:t>慢性呼吸系统疾病</w:t>
      </w:r>
      <w:r>
        <w:rPr>
          <w:rFonts w:hint="eastAsia" w:cs="宋体" w:asciiTheme="minorEastAsia" w:hAnsiTheme="minorEastAsia" w:eastAsiaTheme="minorEastAsia"/>
          <w:sz w:val="24"/>
          <w:szCs w:val="24"/>
        </w:rPr>
        <w:t>死亡个案263例</w:t>
      </w:r>
      <w:r>
        <w:rPr>
          <w:rFonts w:hint="eastAsia" w:cs="Malgun Gothic Semilight" w:asciiTheme="minorEastAsia" w:hAnsiTheme="minorEastAsia" w:eastAsiaTheme="minorEastAsia"/>
          <w:sz w:val="24"/>
          <w:szCs w:val="24"/>
        </w:rPr>
        <w:t>，</w:t>
      </w:r>
      <w:r>
        <w:rPr>
          <w:rFonts w:hint="eastAsia" w:cs="宋体" w:asciiTheme="minorEastAsia" w:hAnsiTheme="minorEastAsia" w:eastAsiaTheme="minorEastAsia"/>
          <w:sz w:val="24"/>
          <w:szCs w:val="24"/>
        </w:rPr>
        <w:t>报告死亡率为 20.94/10万</w:t>
      </w:r>
      <w:r>
        <w:rPr>
          <w:rFonts w:hint="eastAsia" w:cs="Malgun Gothic Semilight" w:asciiTheme="minorEastAsia" w:hAnsiTheme="minorEastAsia" w:eastAsiaTheme="minorEastAsia"/>
          <w:sz w:val="24"/>
          <w:szCs w:val="24"/>
        </w:rPr>
        <w:t>。</w:t>
      </w:r>
      <w:r>
        <w:rPr>
          <w:rFonts w:hint="eastAsia" w:cs="宋体" w:asciiTheme="minorEastAsia" w:hAnsiTheme="minorEastAsia" w:eastAsiaTheme="minorEastAsia"/>
          <w:sz w:val="24"/>
          <w:szCs w:val="24"/>
        </w:rPr>
        <w:t>其中男女死亡率分别为27.50/10万、14.05/10万。男性明显高于女性。见图7.</w:t>
      </w:r>
    </w:p>
    <w:p>
      <w:pPr>
        <w:tabs>
          <w:tab w:val="left" w:pos="360"/>
        </w:tabs>
        <w:spacing w:line="360" w:lineRule="auto"/>
        <w:ind w:firstLine="440" w:firstLineChars="200"/>
        <w:rPr>
          <w:rFonts w:ascii="宋体" w:hAnsi="宋体" w:cs="宋体"/>
        </w:rPr>
      </w:pPr>
      <w:r>
        <w:rPr>
          <w:rFonts w:ascii="宋体" w:hAnsi="宋体" w:cs="宋体"/>
        </w:rPr>
        <w:drawing>
          <wp:inline distT="0" distB="0" distL="0" distR="0">
            <wp:extent cx="4572000" cy="2743200"/>
            <wp:effectExtent l="19050" t="0" r="19050" b="0"/>
            <wp:docPr id="2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10"/>
        <w:spacing w:after="0" w:line="360" w:lineRule="auto"/>
        <w:ind w:firstLine="440" w:firstLineChars="200"/>
        <w:rPr>
          <w:rFonts w:ascii="宋体" w:hAnsi="宋体" w:eastAsia="宋体" w:cs="宋体"/>
          <w:b w:val="0"/>
          <w:sz w:val="22"/>
          <w:szCs w:val="22"/>
        </w:rPr>
      </w:pPr>
      <w:r>
        <w:rPr>
          <w:rFonts w:hint="eastAsia" w:ascii="宋体" w:hAnsi="宋体" w:eastAsia="宋体" w:cs="宋体"/>
          <w:b w:val="0"/>
          <w:sz w:val="22"/>
          <w:szCs w:val="22"/>
        </w:rPr>
        <w:t>图7   2015-2019年瑞安市慢性呼吸系统疾病死亡率（1/10万）</w:t>
      </w:r>
    </w:p>
    <w:p>
      <w:pPr>
        <w:pStyle w:val="10"/>
        <w:spacing w:before="0" w:after="0" w:line="360" w:lineRule="auto"/>
        <w:ind w:firstLine="480" w:firstLineChars="200"/>
        <w:jc w:val="left"/>
        <w:outlineLvl w:val="9"/>
        <w:rPr>
          <w:rFonts w:cs="Malgun Gothic Semilight" w:asciiTheme="minorEastAsia" w:hAnsiTheme="minorEastAsia"/>
          <w:b w:val="0"/>
          <w:sz w:val="24"/>
          <w:szCs w:val="24"/>
        </w:rPr>
      </w:pPr>
      <w:r>
        <w:rPr>
          <w:rFonts w:hint="eastAsia" w:cs="宋体" w:asciiTheme="minorEastAsia" w:hAnsiTheme="minorEastAsia"/>
          <w:b w:val="0"/>
          <w:sz w:val="24"/>
          <w:szCs w:val="24"/>
        </w:rPr>
        <w:t>由图7可见</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2015-2019年瑞安市慢性呼吸系统疾病死亡水平呈下降趋势</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男性变化情况则与女性情况基本一致</w:t>
      </w:r>
      <w:r>
        <w:rPr>
          <w:rFonts w:hint="eastAsia" w:cs="Malgun Gothic Semilight" w:asciiTheme="minorEastAsia" w:hAnsiTheme="minorEastAsia"/>
          <w:b w:val="0"/>
          <w:sz w:val="24"/>
          <w:szCs w:val="24"/>
        </w:rPr>
        <w:t>。</w:t>
      </w:r>
    </w:p>
    <w:p>
      <w:pPr>
        <w:pStyle w:val="10"/>
        <w:spacing w:after="0" w:line="360" w:lineRule="auto"/>
        <w:jc w:val="left"/>
        <w:rPr>
          <w:rFonts w:cs="宋体" w:asciiTheme="minorEastAsia" w:hAnsiTheme="minorEastAsia"/>
          <w:sz w:val="24"/>
          <w:szCs w:val="24"/>
        </w:rPr>
      </w:pPr>
      <w:r>
        <w:rPr>
          <w:rFonts w:hint="eastAsia" w:cs="宋体" w:asciiTheme="minorEastAsia" w:hAnsiTheme="minorEastAsia"/>
          <w:sz w:val="24"/>
          <w:szCs w:val="24"/>
        </w:rPr>
        <w:t>4.4糖尿病</w:t>
      </w:r>
    </w:p>
    <w:p>
      <w:pPr>
        <w:pStyle w:val="10"/>
        <w:spacing w:before="0" w:after="0" w:line="360" w:lineRule="auto"/>
        <w:ind w:firstLine="480" w:firstLineChars="200"/>
        <w:jc w:val="left"/>
        <w:outlineLvl w:val="9"/>
        <w:rPr>
          <w:rFonts w:cs="Malgun Gothic Semilight" w:asciiTheme="minorEastAsia" w:hAnsiTheme="minorEastAsia"/>
          <w:b w:val="0"/>
          <w:sz w:val="24"/>
          <w:szCs w:val="24"/>
        </w:rPr>
      </w:pPr>
      <w:r>
        <w:rPr>
          <w:rFonts w:hint="eastAsia" w:cs="宋体" w:asciiTheme="minorEastAsia" w:hAnsiTheme="minorEastAsia"/>
          <w:b w:val="0"/>
          <w:sz w:val="24"/>
          <w:szCs w:val="24"/>
        </w:rPr>
        <w:t>2015年共报告糖尿病死亡病例186例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报告死亡率为16.80/10万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2016年共报告糖尿病死亡病例226例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报告死亡率为20.37/10万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2017年共报告糖尿病死亡病例198例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报告死亡率为17.87/10万</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2018年共报告糖尿病死亡病例236例</w:t>
      </w:r>
      <w:r>
        <w:rPr>
          <w:rFonts w:hint="eastAsia" w:cs="Malgun Gothic Semilight" w:asciiTheme="minorEastAsia" w:hAnsiTheme="minorEastAsia"/>
          <w:b w:val="0"/>
          <w:sz w:val="24"/>
          <w:szCs w:val="24"/>
        </w:rPr>
        <w:t>，</w:t>
      </w:r>
      <w:r>
        <w:rPr>
          <w:rFonts w:hint="eastAsia" w:cs="宋体" w:asciiTheme="minorEastAsia" w:hAnsiTheme="minorEastAsia"/>
          <w:b w:val="0"/>
          <w:sz w:val="24"/>
          <w:szCs w:val="24"/>
        </w:rPr>
        <w:t>报告死亡率为21.31/10万</w:t>
      </w:r>
      <w:r>
        <w:rPr>
          <w:rFonts w:hint="eastAsia" w:cs="Malgun Gothic Semilight" w:asciiTheme="minorEastAsia" w:hAnsiTheme="minorEastAsia"/>
          <w:b w:val="0"/>
          <w:sz w:val="24"/>
          <w:szCs w:val="24"/>
        </w:rPr>
        <w:t>；</w:t>
      </w:r>
    </w:p>
    <w:p>
      <w:pPr>
        <w:tabs>
          <w:tab w:val="left" w:pos="360"/>
        </w:tabs>
        <w:spacing w:after="0"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2019年共报告糖尿病死亡个案255例</w:t>
      </w:r>
      <w:r>
        <w:rPr>
          <w:rFonts w:hint="eastAsia" w:cs="Malgun Gothic Semilight" w:asciiTheme="minorEastAsia" w:hAnsiTheme="minorEastAsia" w:eastAsiaTheme="minorEastAsia"/>
          <w:sz w:val="24"/>
          <w:szCs w:val="24"/>
        </w:rPr>
        <w:t>，</w:t>
      </w:r>
      <w:r>
        <w:rPr>
          <w:rFonts w:hint="eastAsia" w:cs="宋体" w:asciiTheme="minorEastAsia" w:hAnsiTheme="minorEastAsia" w:eastAsiaTheme="minorEastAsia"/>
          <w:sz w:val="24"/>
          <w:szCs w:val="24"/>
        </w:rPr>
        <w:t>报告死亡率为 20.31/10万</w:t>
      </w:r>
      <w:r>
        <w:rPr>
          <w:rFonts w:hint="eastAsia" w:cs="Malgun Gothic Semilight" w:asciiTheme="minorEastAsia" w:hAnsiTheme="minorEastAsia" w:eastAsiaTheme="minorEastAsia"/>
          <w:sz w:val="24"/>
          <w:szCs w:val="24"/>
        </w:rPr>
        <w:t>。</w:t>
      </w:r>
      <w:r>
        <w:rPr>
          <w:rFonts w:hint="eastAsia" w:cs="宋体" w:asciiTheme="minorEastAsia" w:hAnsiTheme="minorEastAsia" w:eastAsiaTheme="minorEastAsia"/>
          <w:sz w:val="24"/>
          <w:szCs w:val="24"/>
        </w:rPr>
        <w:t>其中男女死亡率分别为18.18/10万、22.54/10万。女性高于男性。见图8.</w:t>
      </w:r>
    </w:p>
    <w:p>
      <w:pPr>
        <w:tabs>
          <w:tab w:val="left" w:pos="360"/>
        </w:tabs>
        <w:spacing w:line="360" w:lineRule="auto"/>
        <w:ind w:firstLine="440" w:firstLineChars="200"/>
        <w:rPr>
          <w:rFonts w:ascii="宋体" w:hAnsi="宋体" w:cs="宋体"/>
        </w:rPr>
      </w:pPr>
      <w:r>
        <w:rPr>
          <w:rFonts w:ascii="宋体" w:hAnsi="宋体" w:cs="宋体"/>
        </w:rPr>
        <w:drawing>
          <wp:inline distT="0" distB="0" distL="0" distR="0">
            <wp:extent cx="4572000" cy="2743200"/>
            <wp:effectExtent l="19050" t="0" r="19050" b="0"/>
            <wp:docPr id="31"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0"/>
        <w:spacing w:after="0" w:line="360" w:lineRule="auto"/>
        <w:ind w:firstLine="440" w:firstLineChars="200"/>
        <w:rPr>
          <w:rFonts w:ascii="仿宋_GB2312" w:hAnsi="宋体" w:eastAsia="仿宋_GB2312" w:cs="宋体"/>
          <w:b w:val="0"/>
          <w:sz w:val="22"/>
          <w:szCs w:val="22"/>
        </w:rPr>
      </w:pPr>
      <w:r>
        <w:rPr>
          <w:rFonts w:hint="eastAsia" w:ascii="宋体" w:hAnsi="宋体" w:eastAsia="宋体" w:cs="宋体"/>
          <w:b w:val="0"/>
          <w:sz w:val="22"/>
          <w:szCs w:val="22"/>
        </w:rPr>
        <w:t>图8   2015-2019年瑞安市糖尿病死亡率（1/10万）</w:t>
      </w:r>
    </w:p>
    <w:p>
      <w:pPr>
        <w:pStyle w:val="10"/>
        <w:spacing w:before="0" w:after="0" w:line="360" w:lineRule="auto"/>
        <w:jc w:val="left"/>
        <w:outlineLvl w:val="9"/>
        <w:rPr>
          <w:rFonts w:cs="宋体" w:asciiTheme="minorEastAsia" w:hAnsiTheme="minorEastAsia"/>
          <w:sz w:val="28"/>
          <w:szCs w:val="28"/>
        </w:rPr>
      </w:pPr>
      <w:r>
        <w:rPr>
          <w:rFonts w:hint="eastAsia" w:cs="宋体" w:asciiTheme="minorEastAsia" w:hAnsiTheme="minorEastAsia"/>
          <w:sz w:val="28"/>
          <w:szCs w:val="28"/>
        </w:rPr>
        <w:t>5、死因顺位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2019年瑞安市居民的前5位死因依次为循环系统，肿瘤，损伤中毒，呼吸系统，神经系统，5种疾病占总死亡数的90.80%。男性前5位死因依次为循环系统，肿瘤，呼吸系统，损伤中毒，神经系统，占男性总死亡数的91.59%；女性前5位死因为循环系统，肿瘤，神经系统，损伤中毒，呼吸系统，占女性总死亡数的89.70%。见表2.</w:t>
      </w:r>
    </w:p>
    <w:p>
      <w:pPr>
        <w:spacing w:line="360" w:lineRule="auto"/>
        <w:jc w:val="center"/>
        <w:rPr>
          <w:rFonts w:ascii="宋体" w:hAnsi="宋体" w:eastAsia="宋体" w:cs="宋体"/>
        </w:rPr>
      </w:pPr>
      <w:r>
        <w:rPr>
          <w:rFonts w:hint="eastAsia" w:ascii="宋体" w:hAnsi="宋体" w:eastAsia="宋体" w:cs="宋体"/>
        </w:rPr>
        <w:t>表2   2019年瑞安市前5位死因死亡率（1/10万）、构成（%）及死因顺位</w:t>
      </w:r>
    </w:p>
    <w:tbl>
      <w:tblPr>
        <w:tblStyle w:val="11"/>
        <w:tblW w:w="8960" w:type="dxa"/>
        <w:tblInd w:w="108" w:type="dxa"/>
        <w:tblLayout w:type="fixed"/>
        <w:tblCellMar>
          <w:top w:w="0" w:type="dxa"/>
          <w:left w:w="108" w:type="dxa"/>
          <w:bottom w:w="0" w:type="dxa"/>
          <w:right w:w="108" w:type="dxa"/>
        </w:tblCellMar>
      </w:tblPr>
      <w:tblGrid>
        <w:gridCol w:w="797"/>
        <w:gridCol w:w="679"/>
        <w:gridCol w:w="819"/>
        <w:gridCol w:w="696"/>
        <w:gridCol w:w="757"/>
        <w:gridCol w:w="699"/>
        <w:gridCol w:w="759"/>
        <w:gridCol w:w="759"/>
        <w:gridCol w:w="856"/>
        <w:gridCol w:w="719"/>
        <w:gridCol w:w="700"/>
        <w:gridCol w:w="720"/>
      </w:tblGrid>
      <w:tr>
        <w:tblPrEx>
          <w:tblCellMar>
            <w:top w:w="0" w:type="dxa"/>
            <w:left w:w="108" w:type="dxa"/>
            <w:bottom w:w="0" w:type="dxa"/>
            <w:right w:w="108" w:type="dxa"/>
          </w:tblCellMar>
        </w:tblPrEx>
        <w:trPr>
          <w:trHeight w:val="270" w:hRule="atLeast"/>
        </w:trPr>
        <w:tc>
          <w:tcPr>
            <w:tcW w:w="797" w:type="dxa"/>
            <w:vMerge w:val="restart"/>
            <w:tcBorders>
              <w:top w:val="single" w:color="auto"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主要疾病</w:t>
            </w:r>
          </w:p>
        </w:tc>
        <w:tc>
          <w:tcPr>
            <w:tcW w:w="2194" w:type="dxa"/>
            <w:gridSpan w:val="3"/>
            <w:tcBorders>
              <w:top w:val="single" w:color="auto" w:sz="4" w:space="0"/>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男</w:t>
            </w:r>
          </w:p>
        </w:tc>
        <w:tc>
          <w:tcPr>
            <w:tcW w:w="757" w:type="dxa"/>
            <w:vMerge w:val="restart"/>
            <w:tcBorders>
              <w:top w:val="single" w:color="auto"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主要疾病</w:t>
            </w:r>
          </w:p>
        </w:tc>
        <w:tc>
          <w:tcPr>
            <w:tcW w:w="2217" w:type="dxa"/>
            <w:gridSpan w:val="3"/>
            <w:tcBorders>
              <w:top w:val="single" w:color="auto" w:sz="4" w:space="0"/>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女</w:t>
            </w:r>
          </w:p>
        </w:tc>
        <w:tc>
          <w:tcPr>
            <w:tcW w:w="856" w:type="dxa"/>
            <w:vMerge w:val="restart"/>
            <w:tcBorders>
              <w:top w:val="single" w:color="auto"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主要疾病</w:t>
            </w:r>
          </w:p>
        </w:tc>
        <w:tc>
          <w:tcPr>
            <w:tcW w:w="2139" w:type="dxa"/>
            <w:gridSpan w:val="3"/>
            <w:tcBorders>
              <w:top w:val="single" w:color="auto" w:sz="4" w:space="0"/>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合计</w:t>
            </w:r>
          </w:p>
        </w:tc>
      </w:tr>
      <w:tr>
        <w:tblPrEx>
          <w:tblCellMar>
            <w:top w:w="0" w:type="dxa"/>
            <w:left w:w="108" w:type="dxa"/>
            <w:bottom w:w="0" w:type="dxa"/>
            <w:right w:w="108" w:type="dxa"/>
          </w:tblCellMar>
        </w:tblPrEx>
        <w:trPr>
          <w:trHeight w:val="270" w:hRule="atLeast"/>
        </w:trPr>
        <w:tc>
          <w:tcPr>
            <w:tcW w:w="797" w:type="dxa"/>
            <w:vMerge w:val="continue"/>
            <w:tcBorders>
              <w:top w:val="single" w:color="auto" w:sz="4" w:space="0"/>
              <w:left w:val="nil"/>
              <w:bottom w:val="single" w:color="000000" w:sz="4" w:space="0"/>
              <w:right w:val="nil"/>
            </w:tcBorders>
            <w:vAlign w:val="center"/>
          </w:tcPr>
          <w:p>
            <w:pPr>
              <w:adjustRightInd/>
              <w:snapToGrid/>
              <w:spacing w:after="0" w:line="360" w:lineRule="auto"/>
              <w:rPr>
                <w:rFonts w:cs="宋体" w:asciiTheme="minorEastAsia" w:hAnsiTheme="minorEastAsia" w:eastAsiaTheme="minorEastAsia"/>
                <w:color w:val="000000"/>
                <w:sz w:val="18"/>
                <w:szCs w:val="18"/>
              </w:rPr>
            </w:pPr>
          </w:p>
        </w:tc>
        <w:tc>
          <w:tcPr>
            <w:tcW w:w="67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死亡数</w:t>
            </w:r>
          </w:p>
        </w:tc>
        <w:tc>
          <w:tcPr>
            <w:tcW w:w="81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构成比</w:t>
            </w:r>
          </w:p>
        </w:tc>
        <w:tc>
          <w:tcPr>
            <w:tcW w:w="696"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死亡率</w:t>
            </w:r>
          </w:p>
        </w:tc>
        <w:tc>
          <w:tcPr>
            <w:tcW w:w="757" w:type="dxa"/>
            <w:vMerge w:val="continue"/>
            <w:tcBorders>
              <w:top w:val="single" w:color="auto" w:sz="4" w:space="0"/>
              <w:left w:val="nil"/>
              <w:bottom w:val="single" w:color="000000" w:sz="4" w:space="0"/>
              <w:right w:val="nil"/>
            </w:tcBorders>
            <w:vAlign w:val="center"/>
          </w:tcPr>
          <w:p>
            <w:pPr>
              <w:adjustRightInd/>
              <w:snapToGrid/>
              <w:spacing w:after="0" w:line="360" w:lineRule="auto"/>
              <w:rPr>
                <w:rFonts w:cs="宋体" w:asciiTheme="minorEastAsia" w:hAnsiTheme="minorEastAsia" w:eastAsiaTheme="minorEastAsia"/>
                <w:color w:val="000000"/>
                <w:sz w:val="18"/>
                <w:szCs w:val="18"/>
              </w:rPr>
            </w:pPr>
          </w:p>
        </w:tc>
        <w:tc>
          <w:tcPr>
            <w:tcW w:w="69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死亡数</w:t>
            </w:r>
          </w:p>
        </w:tc>
        <w:tc>
          <w:tcPr>
            <w:tcW w:w="75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构成比</w:t>
            </w:r>
          </w:p>
        </w:tc>
        <w:tc>
          <w:tcPr>
            <w:tcW w:w="75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死亡率</w:t>
            </w:r>
          </w:p>
        </w:tc>
        <w:tc>
          <w:tcPr>
            <w:tcW w:w="856" w:type="dxa"/>
            <w:vMerge w:val="continue"/>
            <w:tcBorders>
              <w:top w:val="single" w:color="auto" w:sz="4" w:space="0"/>
              <w:left w:val="nil"/>
              <w:bottom w:val="single" w:color="000000" w:sz="4" w:space="0"/>
              <w:right w:val="nil"/>
            </w:tcBorders>
            <w:vAlign w:val="center"/>
          </w:tcPr>
          <w:p>
            <w:pPr>
              <w:adjustRightInd/>
              <w:snapToGrid/>
              <w:spacing w:after="0" w:line="360" w:lineRule="auto"/>
              <w:rPr>
                <w:rFonts w:cs="宋体" w:asciiTheme="minorEastAsia" w:hAnsiTheme="minorEastAsia" w:eastAsiaTheme="minorEastAsia"/>
                <w:color w:val="000000"/>
                <w:sz w:val="18"/>
                <w:szCs w:val="18"/>
              </w:rPr>
            </w:pPr>
          </w:p>
        </w:tc>
        <w:tc>
          <w:tcPr>
            <w:tcW w:w="71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死亡数</w:t>
            </w:r>
          </w:p>
        </w:tc>
        <w:tc>
          <w:tcPr>
            <w:tcW w:w="700"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构成比</w:t>
            </w:r>
          </w:p>
        </w:tc>
        <w:tc>
          <w:tcPr>
            <w:tcW w:w="720"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死亡率</w:t>
            </w:r>
          </w:p>
        </w:tc>
      </w:tr>
      <w:tr>
        <w:tblPrEx>
          <w:tblCellMar>
            <w:top w:w="0" w:type="dxa"/>
            <w:left w:w="108" w:type="dxa"/>
            <w:bottom w:w="0" w:type="dxa"/>
            <w:right w:w="108" w:type="dxa"/>
          </w:tblCellMar>
        </w:tblPrEx>
        <w:trPr>
          <w:trHeight w:val="450" w:hRule="atLeast"/>
        </w:trPr>
        <w:tc>
          <w:tcPr>
            <w:tcW w:w="797"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6"/>
                <w:szCs w:val="16"/>
              </w:rPr>
            </w:pPr>
            <w:r>
              <w:rPr>
                <w:rFonts w:hint="eastAsia" w:cs="宋体" w:asciiTheme="minorEastAsia" w:hAnsiTheme="minorEastAsia" w:eastAsiaTheme="minorEastAsia"/>
                <w:color w:val="000000"/>
                <w:sz w:val="16"/>
                <w:szCs w:val="16"/>
              </w:rPr>
              <w:t>循环系统</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1500</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37.97%</w:t>
            </w:r>
          </w:p>
        </w:tc>
        <w:tc>
          <w:tcPr>
            <w:tcW w:w="69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233.07</w:t>
            </w:r>
          </w:p>
        </w:tc>
        <w:tc>
          <w:tcPr>
            <w:tcW w:w="757"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循环系统</w:t>
            </w:r>
          </w:p>
        </w:tc>
        <w:tc>
          <w:tcPr>
            <w:tcW w:w="69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1298</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45.32%</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212.02</w:t>
            </w:r>
          </w:p>
        </w:tc>
        <w:tc>
          <w:tcPr>
            <w:tcW w:w="8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循环系统</w:t>
            </w:r>
          </w:p>
        </w:tc>
        <w:tc>
          <w:tcPr>
            <w:tcW w:w="7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2798</w:t>
            </w:r>
          </w:p>
        </w:tc>
        <w:tc>
          <w:tcPr>
            <w:tcW w:w="70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41.06%</w:t>
            </w:r>
          </w:p>
        </w:tc>
        <w:tc>
          <w:tcPr>
            <w:tcW w:w="72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222.81</w:t>
            </w:r>
          </w:p>
        </w:tc>
      </w:tr>
      <w:tr>
        <w:tblPrEx>
          <w:tblCellMar>
            <w:top w:w="0" w:type="dxa"/>
            <w:left w:w="108" w:type="dxa"/>
            <w:bottom w:w="0" w:type="dxa"/>
            <w:right w:w="108" w:type="dxa"/>
          </w:tblCellMar>
        </w:tblPrEx>
        <w:trPr>
          <w:trHeight w:val="270" w:hRule="atLeast"/>
        </w:trPr>
        <w:tc>
          <w:tcPr>
            <w:tcW w:w="797"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肿瘤</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1375</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34.81%</w:t>
            </w:r>
          </w:p>
        </w:tc>
        <w:tc>
          <w:tcPr>
            <w:tcW w:w="69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213.65</w:t>
            </w:r>
          </w:p>
        </w:tc>
        <w:tc>
          <w:tcPr>
            <w:tcW w:w="757"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肿瘤</w:t>
            </w:r>
          </w:p>
        </w:tc>
        <w:tc>
          <w:tcPr>
            <w:tcW w:w="69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667</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23.29%</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108.95</w:t>
            </w:r>
          </w:p>
        </w:tc>
        <w:tc>
          <w:tcPr>
            <w:tcW w:w="8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肿瘤</w:t>
            </w:r>
          </w:p>
        </w:tc>
        <w:tc>
          <w:tcPr>
            <w:tcW w:w="7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2042</w:t>
            </w:r>
          </w:p>
        </w:tc>
        <w:tc>
          <w:tcPr>
            <w:tcW w:w="70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29.97%</w:t>
            </w:r>
          </w:p>
        </w:tc>
        <w:tc>
          <w:tcPr>
            <w:tcW w:w="72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162.61</w:t>
            </w:r>
          </w:p>
        </w:tc>
      </w:tr>
      <w:tr>
        <w:tblPrEx>
          <w:tblCellMar>
            <w:top w:w="0" w:type="dxa"/>
            <w:left w:w="108" w:type="dxa"/>
            <w:bottom w:w="0" w:type="dxa"/>
            <w:right w:w="108" w:type="dxa"/>
          </w:tblCellMar>
        </w:tblPrEx>
        <w:trPr>
          <w:trHeight w:val="450" w:hRule="atLeast"/>
        </w:trPr>
        <w:tc>
          <w:tcPr>
            <w:tcW w:w="797"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呼吸系统</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281</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7.11%</w:t>
            </w:r>
          </w:p>
        </w:tc>
        <w:tc>
          <w:tcPr>
            <w:tcW w:w="69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43.66</w:t>
            </w:r>
          </w:p>
        </w:tc>
        <w:tc>
          <w:tcPr>
            <w:tcW w:w="757"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神经系统</w:t>
            </w:r>
          </w:p>
        </w:tc>
        <w:tc>
          <w:tcPr>
            <w:tcW w:w="69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228</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7.96%</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37.24</w:t>
            </w:r>
          </w:p>
        </w:tc>
        <w:tc>
          <w:tcPr>
            <w:tcW w:w="8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损伤中毒</w:t>
            </w:r>
          </w:p>
        </w:tc>
        <w:tc>
          <w:tcPr>
            <w:tcW w:w="7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479</w:t>
            </w:r>
          </w:p>
        </w:tc>
        <w:tc>
          <w:tcPr>
            <w:tcW w:w="70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7.03%</w:t>
            </w:r>
          </w:p>
        </w:tc>
        <w:tc>
          <w:tcPr>
            <w:tcW w:w="72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38.14</w:t>
            </w:r>
          </w:p>
        </w:tc>
      </w:tr>
      <w:tr>
        <w:tblPrEx>
          <w:tblCellMar>
            <w:top w:w="0" w:type="dxa"/>
            <w:left w:w="108" w:type="dxa"/>
            <w:bottom w:w="0" w:type="dxa"/>
            <w:right w:w="108" w:type="dxa"/>
          </w:tblCellMar>
        </w:tblPrEx>
        <w:trPr>
          <w:trHeight w:val="450" w:hRule="atLeast"/>
        </w:trPr>
        <w:tc>
          <w:tcPr>
            <w:tcW w:w="797"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损伤中毒</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271</w:t>
            </w:r>
          </w:p>
        </w:tc>
        <w:tc>
          <w:tcPr>
            <w:tcW w:w="8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6.86%</w:t>
            </w:r>
          </w:p>
        </w:tc>
        <w:tc>
          <w:tcPr>
            <w:tcW w:w="69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42.11</w:t>
            </w:r>
          </w:p>
        </w:tc>
        <w:tc>
          <w:tcPr>
            <w:tcW w:w="757"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损伤中毒</w:t>
            </w:r>
          </w:p>
        </w:tc>
        <w:tc>
          <w:tcPr>
            <w:tcW w:w="69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208</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7.26%</w:t>
            </w:r>
          </w:p>
        </w:tc>
        <w:tc>
          <w:tcPr>
            <w:tcW w:w="75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33.97</w:t>
            </w:r>
          </w:p>
        </w:tc>
        <w:tc>
          <w:tcPr>
            <w:tcW w:w="8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呼吸系统</w:t>
            </w:r>
          </w:p>
        </w:tc>
        <w:tc>
          <w:tcPr>
            <w:tcW w:w="71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449</w:t>
            </w:r>
          </w:p>
        </w:tc>
        <w:tc>
          <w:tcPr>
            <w:tcW w:w="70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6.59%</w:t>
            </w:r>
          </w:p>
        </w:tc>
        <w:tc>
          <w:tcPr>
            <w:tcW w:w="72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35.75</w:t>
            </w:r>
          </w:p>
        </w:tc>
      </w:tr>
      <w:tr>
        <w:tblPrEx>
          <w:tblCellMar>
            <w:top w:w="0" w:type="dxa"/>
            <w:left w:w="108" w:type="dxa"/>
            <w:bottom w:w="0" w:type="dxa"/>
            <w:right w:w="108" w:type="dxa"/>
          </w:tblCellMar>
        </w:tblPrEx>
        <w:trPr>
          <w:trHeight w:val="450" w:hRule="atLeast"/>
        </w:trPr>
        <w:tc>
          <w:tcPr>
            <w:tcW w:w="797"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神经系统</w:t>
            </w:r>
          </w:p>
        </w:tc>
        <w:tc>
          <w:tcPr>
            <w:tcW w:w="67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191</w:t>
            </w:r>
          </w:p>
        </w:tc>
        <w:tc>
          <w:tcPr>
            <w:tcW w:w="81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4.84%</w:t>
            </w:r>
          </w:p>
        </w:tc>
        <w:tc>
          <w:tcPr>
            <w:tcW w:w="696"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29.68</w:t>
            </w:r>
          </w:p>
        </w:tc>
        <w:tc>
          <w:tcPr>
            <w:tcW w:w="757"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呼吸系统</w:t>
            </w:r>
          </w:p>
        </w:tc>
        <w:tc>
          <w:tcPr>
            <w:tcW w:w="69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168</w:t>
            </w:r>
          </w:p>
        </w:tc>
        <w:tc>
          <w:tcPr>
            <w:tcW w:w="75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5.87%</w:t>
            </w:r>
          </w:p>
        </w:tc>
        <w:tc>
          <w:tcPr>
            <w:tcW w:w="75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27.44</w:t>
            </w:r>
          </w:p>
        </w:tc>
        <w:tc>
          <w:tcPr>
            <w:tcW w:w="856"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神经系统</w:t>
            </w:r>
          </w:p>
        </w:tc>
        <w:tc>
          <w:tcPr>
            <w:tcW w:w="719"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419</w:t>
            </w:r>
          </w:p>
        </w:tc>
        <w:tc>
          <w:tcPr>
            <w:tcW w:w="700"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6.15%</w:t>
            </w:r>
          </w:p>
        </w:tc>
        <w:tc>
          <w:tcPr>
            <w:tcW w:w="720"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6"/>
                <w:szCs w:val="16"/>
              </w:rPr>
            </w:pPr>
            <w:r>
              <w:rPr>
                <w:rFonts w:cs="Times New Roman" w:asciiTheme="minorEastAsia" w:hAnsiTheme="minorEastAsia" w:eastAsiaTheme="minorEastAsia"/>
                <w:color w:val="000000"/>
                <w:sz w:val="16"/>
                <w:szCs w:val="16"/>
              </w:rPr>
              <w:t>33.37</w:t>
            </w:r>
          </w:p>
        </w:tc>
      </w:tr>
    </w:tbl>
    <w:p>
      <w:pPr>
        <w:pStyle w:val="10"/>
        <w:spacing w:after="0" w:line="360" w:lineRule="auto"/>
        <w:jc w:val="left"/>
        <w:rPr>
          <w:rFonts w:cs="宋体" w:asciiTheme="minorEastAsia" w:hAnsiTheme="minorEastAsia"/>
          <w:b w:val="0"/>
          <w:sz w:val="22"/>
          <w:szCs w:val="22"/>
        </w:rPr>
      </w:pPr>
    </w:p>
    <w:p>
      <w:pPr>
        <w:spacing w:line="360" w:lineRule="auto"/>
        <w:outlineLvl w:val="3"/>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6、减寿顺位</w:t>
      </w:r>
    </w:p>
    <w:p>
      <w:pPr>
        <w:spacing w:line="360" w:lineRule="auto"/>
        <w:ind w:firstLine="480" w:firstLineChars="200"/>
        <w:rPr>
          <w:rFonts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潜在寿命损失主要反映低年龄组寿命损失（即早死）对居民健康水平的影响。</w:t>
      </w:r>
      <w:r>
        <w:rPr>
          <w:rFonts w:hint="eastAsia" w:asciiTheme="minorEastAsia" w:hAnsiTheme="minorEastAsia" w:eastAsiaTheme="minorEastAsia"/>
          <w:color w:val="000000"/>
          <w:sz w:val="24"/>
          <w:szCs w:val="24"/>
        </w:rPr>
        <w:t>2019年主要死因按平均减寿年数排序，前5位死因分别为围生期病、先天异常、损伤中毒、肿瘤、消化系统、其平均减寿年数为69.50年、61.04年、9.34年、5.66年、5.36年；减寿率则为0.33‰、0.63‰、3.56‰、9.21‰、0.65‰</w:t>
      </w:r>
      <w:r>
        <w:rPr>
          <w:rFonts w:asciiTheme="minorEastAsia" w:hAnsiTheme="minorEastAsia" w:eastAsiaTheme="minorEastAsia"/>
          <w:color w:val="000000"/>
          <w:sz w:val="24"/>
          <w:szCs w:val="24"/>
        </w:rPr>
        <w:t>。</w:t>
      </w:r>
      <w:r>
        <w:rPr>
          <w:rFonts w:hint="eastAsia" w:asciiTheme="minorEastAsia" w:hAnsiTheme="minorEastAsia" w:eastAsiaTheme="minorEastAsia"/>
          <w:color w:val="000000"/>
          <w:sz w:val="24"/>
          <w:szCs w:val="24"/>
        </w:rPr>
        <w:t>男性前5位减寿顺位分别是围生期病、先天异常、损伤中毒、消化系统、肿瘤；女性前5位减寿顺位分别是围生期病、先天异常、损伤中毒、肿瘤、消化系统。</w:t>
      </w:r>
      <w:r>
        <w:rPr>
          <w:rFonts w:hint="eastAsia" w:cs="宋体" w:asciiTheme="minorEastAsia" w:hAnsiTheme="minorEastAsia" w:eastAsiaTheme="minorEastAsia"/>
          <w:sz w:val="24"/>
          <w:szCs w:val="24"/>
        </w:rPr>
        <w:t>见表3.</w:t>
      </w:r>
    </w:p>
    <w:p>
      <w:pPr>
        <w:spacing w:line="360" w:lineRule="auto"/>
        <w:jc w:val="center"/>
        <w:rPr>
          <w:rFonts w:cs="宋体" w:asciiTheme="minorEastAsia" w:hAnsiTheme="minorEastAsia" w:eastAsiaTheme="minorEastAsia"/>
        </w:rPr>
      </w:pPr>
      <w:r>
        <w:rPr>
          <w:rFonts w:hint="eastAsia" w:cs="宋体" w:asciiTheme="minorEastAsia" w:hAnsiTheme="minorEastAsia" w:eastAsiaTheme="minorEastAsia"/>
        </w:rPr>
        <w:t>表3   2019瑞安市前5位死因减寿年数（年）、减寿率（‰）和减寿顺位</w:t>
      </w:r>
    </w:p>
    <w:tbl>
      <w:tblPr>
        <w:tblStyle w:val="11"/>
        <w:tblW w:w="8960" w:type="dxa"/>
        <w:jc w:val="center"/>
        <w:tblLayout w:type="fixed"/>
        <w:tblCellMar>
          <w:top w:w="0" w:type="dxa"/>
          <w:left w:w="108" w:type="dxa"/>
          <w:bottom w:w="0" w:type="dxa"/>
          <w:right w:w="108" w:type="dxa"/>
        </w:tblCellMar>
      </w:tblPr>
      <w:tblGrid>
        <w:gridCol w:w="775"/>
        <w:gridCol w:w="679"/>
        <w:gridCol w:w="816"/>
        <w:gridCol w:w="679"/>
        <w:gridCol w:w="738"/>
        <w:gridCol w:w="698"/>
        <w:gridCol w:w="760"/>
        <w:gridCol w:w="754"/>
        <w:gridCol w:w="832"/>
        <w:gridCol w:w="756"/>
        <w:gridCol w:w="756"/>
        <w:gridCol w:w="717"/>
      </w:tblGrid>
      <w:tr>
        <w:tblPrEx>
          <w:tblCellMar>
            <w:top w:w="0" w:type="dxa"/>
            <w:left w:w="108" w:type="dxa"/>
            <w:bottom w:w="0" w:type="dxa"/>
            <w:right w:w="108" w:type="dxa"/>
          </w:tblCellMar>
        </w:tblPrEx>
        <w:trPr>
          <w:trHeight w:val="270" w:hRule="atLeast"/>
          <w:jc w:val="center"/>
        </w:trPr>
        <w:tc>
          <w:tcPr>
            <w:tcW w:w="775" w:type="dxa"/>
            <w:vMerge w:val="restart"/>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疾病名称</w:t>
            </w:r>
          </w:p>
        </w:tc>
        <w:tc>
          <w:tcPr>
            <w:tcW w:w="2174" w:type="dxa"/>
            <w:gridSpan w:val="3"/>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男</w:t>
            </w:r>
          </w:p>
        </w:tc>
        <w:tc>
          <w:tcPr>
            <w:tcW w:w="738" w:type="dxa"/>
            <w:vMerge w:val="restart"/>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疾病名称</w:t>
            </w:r>
          </w:p>
        </w:tc>
        <w:tc>
          <w:tcPr>
            <w:tcW w:w="2212" w:type="dxa"/>
            <w:gridSpan w:val="3"/>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女</w:t>
            </w:r>
          </w:p>
        </w:tc>
        <w:tc>
          <w:tcPr>
            <w:tcW w:w="832" w:type="dxa"/>
            <w:vMerge w:val="restart"/>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疾病名称</w:t>
            </w:r>
          </w:p>
        </w:tc>
        <w:tc>
          <w:tcPr>
            <w:tcW w:w="2229" w:type="dxa"/>
            <w:gridSpan w:val="3"/>
            <w:tcBorders>
              <w:top w:val="single" w:color="000000" w:sz="4" w:space="0"/>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合计</w:t>
            </w:r>
          </w:p>
        </w:tc>
      </w:tr>
      <w:tr>
        <w:tblPrEx>
          <w:tblCellMar>
            <w:top w:w="0" w:type="dxa"/>
            <w:left w:w="108" w:type="dxa"/>
            <w:bottom w:w="0" w:type="dxa"/>
            <w:right w:w="108" w:type="dxa"/>
          </w:tblCellMar>
        </w:tblPrEx>
        <w:trPr>
          <w:trHeight w:val="675" w:hRule="atLeast"/>
          <w:jc w:val="center"/>
        </w:trPr>
        <w:tc>
          <w:tcPr>
            <w:tcW w:w="775" w:type="dxa"/>
            <w:vMerge w:val="continue"/>
            <w:tcBorders>
              <w:top w:val="single" w:color="000000" w:sz="4" w:space="0"/>
              <w:left w:val="nil"/>
              <w:bottom w:val="single" w:color="000000" w:sz="4" w:space="0"/>
              <w:right w:val="nil"/>
            </w:tcBorders>
            <w:vAlign w:val="center"/>
          </w:tcPr>
          <w:p>
            <w:pPr>
              <w:adjustRightInd/>
              <w:snapToGrid/>
              <w:spacing w:after="0" w:line="360" w:lineRule="auto"/>
              <w:rPr>
                <w:rFonts w:cs="宋体" w:asciiTheme="minorEastAsia" w:hAnsiTheme="minorEastAsia" w:eastAsiaTheme="minorEastAsia"/>
                <w:color w:val="000000"/>
                <w:sz w:val="18"/>
                <w:szCs w:val="18"/>
              </w:rPr>
            </w:pPr>
          </w:p>
        </w:tc>
        <w:tc>
          <w:tcPr>
            <w:tcW w:w="679"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各年龄组减寿年数</w:t>
            </w:r>
          </w:p>
        </w:tc>
        <w:tc>
          <w:tcPr>
            <w:tcW w:w="816"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减寿率（‰）</w:t>
            </w:r>
          </w:p>
        </w:tc>
        <w:tc>
          <w:tcPr>
            <w:tcW w:w="679"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平均减寿年数</w:t>
            </w:r>
          </w:p>
        </w:tc>
        <w:tc>
          <w:tcPr>
            <w:tcW w:w="738" w:type="dxa"/>
            <w:vMerge w:val="continue"/>
            <w:tcBorders>
              <w:top w:val="single" w:color="000000" w:sz="4" w:space="0"/>
              <w:left w:val="nil"/>
              <w:bottom w:val="single" w:color="000000" w:sz="4" w:space="0"/>
              <w:right w:val="nil"/>
            </w:tcBorders>
            <w:vAlign w:val="center"/>
          </w:tcPr>
          <w:p>
            <w:pPr>
              <w:adjustRightInd/>
              <w:snapToGrid/>
              <w:spacing w:after="0" w:line="360" w:lineRule="auto"/>
              <w:rPr>
                <w:rFonts w:cs="宋体" w:asciiTheme="minorEastAsia" w:hAnsiTheme="minorEastAsia" w:eastAsiaTheme="minorEastAsia"/>
                <w:color w:val="000000"/>
                <w:sz w:val="18"/>
                <w:szCs w:val="18"/>
              </w:rPr>
            </w:pPr>
          </w:p>
        </w:tc>
        <w:tc>
          <w:tcPr>
            <w:tcW w:w="698"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各年龄组减寿年数</w:t>
            </w:r>
          </w:p>
        </w:tc>
        <w:tc>
          <w:tcPr>
            <w:tcW w:w="760"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减寿率（‰）</w:t>
            </w:r>
          </w:p>
        </w:tc>
        <w:tc>
          <w:tcPr>
            <w:tcW w:w="754"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平均减寿年数</w:t>
            </w:r>
          </w:p>
        </w:tc>
        <w:tc>
          <w:tcPr>
            <w:tcW w:w="832" w:type="dxa"/>
            <w:vMerge w:val="continue"/>
            <w:tcBorders>
              <w:top w:val="single" w:color="000000" w:sz="4" w:space="0"/>
              <w:left w:val="nil"/>
              <w:bottom w:val="single" w:color="000000" w:sz="4" w:space="0"/>
              <w:right w:val="nil"/>
            </w:tcBorders>
            <w:vAlign w:val="center"/>
          </w:tcPr>
          <w:p>
            <w:pPr>
              <w:adjustRightInd/>
              <w:snapToGrid/>
              <w:spacing w:after="0" w:line="360" w:lineRule="auto"/>
              <w:rPr>
                <w:rFonts w:cs="宋体" w:asciiTheme="minorEastAsia" w:hAnsiTheme="minorEastAsia" w:eastAsiaTheme="minorEastAsia"/>
                <w:color w:val="000000"/>
                <w:sz w:val="18"/>
                <w:szCs w:val="18"/>
              </w:rPr>
            </w:pPr>
          </w:p>
        </w:tc>
        <w:tc>
          <w:tcPr>
            <w:tcW w:w="756"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各年龄组减寿年数</w:t>
            </w:r>
          </w:p>
        </w:tc>
        <w:tc>
          <w:tcPr>
            <w:tcW w:w="756"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减寿率（‰）</w:t>
            </w:r>
          </w:p>
        </w:tc>
        <w:tc>
          <w:tcPr>
            <w:tcW w:w="717"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平均减寿年数</w:t>
            </w:r>
          </w:p>
        </w:tc>
      </w:tr>
      <w:tr>
        <w:tblPrEx>
          <w:tblCellMar>
            <w:top w:w="0" w:type="dxa"/>
            <w:left w:w="108" w:type="dxa"/>
            <w:bottom w:w="0" w:type="dxa"/>
            <w:right w:w="108" w:type="dxa"/>
          </w:tblCellMar>
        </w:tblPrEx>
        <w:trPr>
          <w:trHeight w:val="450" w:hRule="atLeast"/>
          <w:jc w:val="center"/>
        </w:trPr>
        <w:tc>
          <w:tcPr>
            <w:tcW w:w="775"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围生期病</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209</w:t>
            </w:r>
          </w:p>
        </w:tc>
        <w:tc>
          <w:tcPr>
            <w:tcW w:w="81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0.32</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69.5</w:t>
            </w:r>
          </w:p>
        </w:tc>
        <w:tc>
          <w:tcPr>
            <w:tcW w:w="738"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围生期病</w:t>
            </w:r>
          </w:p>
        </w:tc>
        <w:tc>
          <w:tcPr>
            <w:tcW w:w="698"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209</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0.34</w:t>
            </w:r>
          </w:p>
        </w:tc>
        <w:tc>
          <w:tcPr>
            <w:tcW w:w="754"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69.5</w:t>
            </w:r>
          </w:p>
        </w:tc>
        <w:tc>
          <w:tcPr>
            <w:tcW w:w="832"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围生期病</w:t>
            </w:r>
          </w:p>
        </w:tc>
        <w:tc>
          <w:tcPr>
            <w:tcW w:w="7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417</w:t>
            </w:r>
          </w:p>
        </w:tc>
        <w:tc>
          <w:tcPr>
            <w:tcW w:w="7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0.33</w:t>
            </w:r>
          </w:p>
        </w:tc>
        <w:tc>
          <w:tcPr>
            <w:tcW w:w="717"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69.5</w:t>
            </w:r>
          </w:p>
        </w:tc>
      </w:tr>
      <w:tr>
        <w:tblPrEx>
          <w:tblCellMar>
            <w:top w:w="0" w:type="dxa"/>
            <w:left w:w="108" w:type="dxa"/>
            <w:bottom w:w="0" w:type="dxa"/>
            <w:right w:w="108" w:type="dxa"/>
          </w:tblCellMar>
        </w:tblPrEx>
        <w:trPr>
          <w:trHeight w:val="450" w:hRule="atLeast"/>
          <w:jc w:val="center"/>
        </w:trPr>
        <w:tc>
          <w:tcPr>
            <w:tcW w:w="775"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先天异常</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614</w:t>
            </w:r>
          </w:p>
        </w:tc>
        <w:tc>
          <w:tcPr>
            <w:tcW w:w="81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0.95</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61.4</w:t>
            </w:r>
          </w:p>
        </w:tc>
        <w:tc>
          <w:tcPr>
            <w:tcW w:w="738"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先天异常</w:t>
            </w:r>
          </w:p>
        </w:tc>
        <w:tc>
          <w:tcPr>
            <w:tcW w:w="698"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180</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0.29</w:t>
            </w:r>
          </w:p>
        </w:tc>
        <w:tc>
          <w:tcPr>
            <w:tcW w:w="754"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59.83</w:t>
            </w:r>
          </w:p>
        </w:tc>
        <w:tc>
          <w:tcPr>
            <w:tcW w:w="832"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先天异常</w:t>
            </w:r>
          </w:p>
        </w:tc>
        <w:tc>
          <w:tcPr>
            <w:tcW w:w="7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794</w:t>
            </w:r>
          </w:p>
        </w:tc>
        <w:tc>
          <w:tcPr>
            <w:tcW w:w="7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0.63</w:t>
            </w:r>
          </w:p>
        </w:tc>
        <w:tc>
          <w:tcPr>
            <w:tcW w:w="717"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61.04</w:t>
            </w:r>
          </w:p>
        </w:tc>
      </w:tr>
      <w:tr>
        <w:tblPrEx>
          <w:tblCellMar>
            <w:top w:w="0" w:type="dxa"/>
            <w:left w:w="108" w:type="dxa"/>
            <w:bottom w:w="0" w:type="dxa"/>
            <w:right w:w="108" w:type="dxa"/>
          </w:tblCellMar>
        </w:tblPrEx>
        <w:trPr>
          <w:trHeight w:val="450" w:hRule="atLeast"/>
          <w:jc w:val="center"/>
        </w:trPr>
        <w:tc>
          <w:tcPr>
            <w:tcW w:w="775"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损伤中毒</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2,718</w:t>
            </w:r>
          </w:p>
        </w:tc>
        <w:tc>
          <w:tcPr>
            <w:tcW w:w="81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4.22</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10.03</w:t>
            </w:r>
          </w:p>
        </w:tc>
        <w:tc>
          <w:tcPr>
            <w:tcW w:w="738"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损伤中毒</w:t>
            </w:r>
          </w:p>
        </w:tc>
        <w:tc>
          <w:tcPr>
            <w:tcW w:w="698"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1,755</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2.87</w:t>
            </w:r>
          </w:p>
        </w:tc>
        <w:tc>
          <w:tcPr>
            <w:tcW w:w="754"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8.44</w:t>
            </w:r>
          </w:p>
        </w:tc>
        <w:tc>
          <w:tcPr>
            <w:tcW w:w="832"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损伤中毒</w:t>
            </w:r>
          </w:p>
        </w:tc>
        <w:tc>
          <w:tcPr>
            <w:tcW w:w="7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4,472</w:t>
            </w:r>
          </w:p>
        </w:tc>
        <w:tc>
          <w:tcPr>
            <w:tcW w:w="7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3.56</w:t>
            </w:r>
          </w:p>
        </w:tc>
        <w:tc>
          <w:tcPr>
            <w:tcW w:w="717"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9.34</w:t>
            </w:r>
          </w:p>
        </w:tc>
      </w:tr>
      <w:tr>
        <w:tblPrEx>
          <w:tblCellMar>
            <w:top w:w="0" w:type="dxa"/>
            <w:left w:w="108" w:type="dxa"/>
            <w:bottom w:w="0" w:type="dxa"/>
            <w:right w:w="108" w:type="dxa"/>
          </w:tblCellMar>
        </w:tblPrEx>
        <w:trPr>
          <w:trHeight w:val="270" w:hRule="atLeast"/>
          <w:jc w:val="center"/>
        </w:trPr>
        <w:tc>
          <w:tcPr>
            <w:tcW w:w="775"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消化系统</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600</w:t>
            </w:r>
          </w:p>
        </w:tc>
        <w:tc>
          <w:tcPr>
            <w:tcW w:w="81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0.93</w:t>
            </w:r>
          </w:p>
        </w:tc>
        <w:tc>
          <w:tcPr>
            <w:tcW w:w="679"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6.45</w:t>
            </w:r>
          </w:p>
        </w:tc>
        <w:tc>
          <w:tcPr>
            <w:tcW w:w="738"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肿瘤</w:t>
            </w:r>
          </w:p>
        </w:tc>
        <w:tc>
          <w:tcPr>
            <w:tcW w:w="698"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3,938</w:t>
            </w:r>
          </w:p>
        </w:tc>
        <w:tc>
          <w:tcPr>
            <w:tcW w:w="760"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6.43</w:t>
            </w:r>
          </w:p>
        </w:tc>
        <w:tc>
          <w:tcPr>
            <w:tcW w:w="754"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5.9</w:t>
            </w:r>
          </w:p>
        </w:tc>
        <w:tc>
          <w:tcPr>
            <w:tcW w:w="832" w:type="dxa"/>
            <w:tcBorders>
              <w:top w:val="nil"/>
              <w:left w:val="nil"/>
              <w:bottom w:val="nil"/>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肿瘤</w:t>
            </w:r>
          </w:p>
        </w:tc>
        <w:tc>
          <w:tcPr>
            <w:tcW w:w="7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11,567</w:t>
            </w:r>
          </w:p>
        </w:tc>
        <w:tc>
          <w:tcPr>
            <w:tcW w:w="756"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9.21</w:t>
            </w:r>
          </w:p>
        </w:tc>
        <w:tc>
          <w:tcPr>
            <w:tcW w:w="717" w:type="dxa"/>
            <w:tcBorders>
              <w:top w:val="nil"/>
              <w:left w:val="nil"/>
              <w:bottom w:val="nil"/>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5.66</w:t>
            </w:r>
          </w:p>
        </w:tc>
      </w:tr>
      <w:tr>
        <w:tblPrEx>
          <w:tblCellMar>
            <w:top w:w="0" w:type="dxa"/>
            <w:left w:w="108" w:type="dxa"/>
            <w:bottom w:w="0" w:type="dxa"/>
            <w:right w:w="108" w:type="dxa"/>
          </w:tblCellMar>
        </w:tblPrEx>
        <w:trPr>
          <w:trHeight w:val="450" w:hRule="atLeast"/>
          <w:jc w:val="center"/>
        </w:trPr>
        <w:tc>
          <w:tcPr>
            <w:tcW w:w="775"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肿瘤</w:t>
            </w:r>
          </w:p>
        </w:tc>
        <w:tc>
          <w:tcPr>
            <w:tcW w:w="679"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7,630</w:t>
            </w:r>
          </w:p>
        </w:tc>
        <w:tc>
          <w:tcPr>
            <w:tcW w:w="816"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11.85</w:t>
            </w:r>
          </w:p>
        </w:tc>
        <w:tc>
          <w:tcPr>
            <w:tcW w:w="679"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5.55</w:t>
            </w:r>
          </w:p>
        </w:tc>
        <w:tc>
          <w:tcPr>
            <w:tcW w:w="738"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消化系统</w:t>
            </w:r>
          </w:p>
        </w:tc>
        <w:tc>
          <w:tcPr>
            <w:tcW w:w="698"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215</w:t>
            </w:r>
          </w:p>
        </w:tc>
        <w:tc>
          <w:tcPr>
            <w:tcW w:w="760"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0.35</w:t>
            </w:r>
          </w:p>
        </w:tc>
        <w:tc>
          <w:tcPr>
            <w:tcW w:w="754"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3.64</w:t>
            </w:r>
          </w:p>
        </w:tc>
        <w:tc>
          <w:tcPr>
            <w:tcW w:w="832"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消化系统</w:t>
            </w:r>
          </w:p>
        </w:tc>
        <w:tc>
          <w:tcPr>
            <w:tcW w:w="756"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815</w:t>
            </w:r>
          </w:p>
        </w:tc>
        <w:tc>
          <w:tcPr>
            <w:tcW w:w="756"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0.65</w:t>
            </w:r>
          </w:p>
        </w:tc>
        <w:tc>
          <w:tcPr>
            <w:tcW w:w="717" w:type="dxa"/>
            <w:tcBorders>
              <w:top w:val="nil"/>
              <w:left w:val="nil"/>
              <w:bottom w:val="single" w:color="000000" w:sz="4" w:space="0"/>
              <w:right w:val="nil"/>
            </w:tcBorders>
            <w:shd w:val="clear" w:color="auto" w:fill="auto"/>
            <w:vAlign w:val="center"/>
          </w:tcPr>
          <w:p>
            <w:pPr>
              <w:adjustRightInd/>
              <w:snapToGrid/>
              <w:spacing w:after="0" w:line="360" w:lineRule="auto"/>
              <w:jc w:val="center"/>
              <w:rPr>
                <w:rFonts w:cs="Times New Roman" w:asciiTheme="minorEastAsia" w:hAnsiTheme="minorEastAsia" w:eastAsiaTheme="minorEastAsia"/>
                <w:color w:val="000000"/>
                <w:sz w:val="18"/>
                <w:szCs w:val="18"/>
              </w:rPr>
            </w:pPr>
            <w:r>
              <w:rPr>
                <w:rFonts w:cs="Times New Roman" w:asciiTheme="minorEastAsia" w:hAnsiTheme="minorEastAsia" w:eastAsiaTheme="minorEastAsia"/>
                <w:color w:val="000000"/>
                <w:sz w:val="18"/>
                <w:szCs w:val="18"/>
              </w:rPr>
              <w:t>5.36</w:t>
            </w:r>
          </w:p>
        </w:tc>
      </w:tr>
    </w:tbl>
    <w:p>
      <w:pPr>
        <w:spacing w:after="0" w:line="360" w:lineRule="auto"/>
        <w:rPr>
          <w:rFonts w:asciiTheme="minorEastAsia" w:hAnsiTheme="minorEastAsia" w:eastAsiaTheme="minorEastAsia"/>
          <w:b/>
          <w:sz w:val="28"/>
          <w:szCs w:val="28"/>
        </w:rPr>
      </w:pPr>
      <w:r>
        <w:rPr>
          <w:rFonts w:hint="eastAsia" w:cs="宋体" w:asciiTheme="minorEastAsia" w:hAnsiTheme="minorEastAsia" w:eastAsiaTheme="minorEastAsia"/>
          <w:b/>
          <w:sz w:val="28"/>
          <w:szCs w:val="28"/>
        </w:rPr>
        <w:t>7、</w:t>
      </w:r>
      <w:r>
        <w:rPr>
          <w:rFonts w:hint="eastAsia" w:asciiTheme="minorEastAsia" w:hAnsiTheme="minorEastAsia" w:eastAsiaTheme="minorEastAsia"/>
          <w:b/>
          <w:sz w:val="28"/>
          <w:szCs w:val="28"/>
        </w:rPr>
        <w:t>重大慢性病过早死亡概率</w:t>
      </w:r>
    </w:p>
    <w:p>
      <w:pPr>
        <w:spacing w:after="0" w:line="360" w:lineRule="auto"/>
        <w:ind w:firstLine="720" w:firstLineChars="300"/>
        <w:rPr>
          <w:rFonts w:cs="宋体" w:asciiTheme="minorEastAsia" w:hAnsiTheme="minorEastAsia" w:eastAsiaTheme="minorEastAsia"/>
          <w:sz w:val="24"/>
          <w:szCs w:val="24"/>
        </w:rPr>
      </w:pPr>
      <w:r>
        <w:rPr>
          <w:rFonts w:cs="Arial" w:asciiTheme="minorEastAsia" w:hAnsiTheme="minorEastAsia" w:eastAsiaTheme="minorEastAsia"/>
          <w:sz w:val="24"/>
          <w:szCs w:val="24"/>
          <w:shd w:val="clear" w:color="auto" w:fill="FFFFFF"/>
        </w:rPr>
        <w:t>2015-2019</w:t>
      </w:r>
      <w:r>
        <w:rPr>
          <w:rFonts w:hint="eastAsia" w:cs="Arial" w:asciiTheme="minorEastAsia" w:hAnsiTheme="minorEastAsia" w:eastAsiaTheme="minorEastAsia"/>
          <w:sz w:val="24"/>
          <w:szCs w:val="24"/>
          <w:shd w:val="clear" w:color="auto" w:fill="FFFFFF"/>
        </w:rPr>
        <w:t>年瑞安市</w:t>
      </w:r>
      <w:r>
        <w:rPr>
          <w:rFonts w:cs="Arial" w:asciiTheme="minorEastAsia" w:hAnsiTheme="minorEastAsia" w:eastAsiaTheme="minorEastAsia"/>
          <w:sz w:val="24"/>
          <w:szCs w:val="24"/>
        </w:rPr>
        <w:t>30</w:t>
      </w:r>
      <w:r>
        <w:rPr>
          <w:rFonts w:hint="eastAsia" w:cs="宋体" w:asciiTheme="minorEastAsia" w:hAnsiTheme="minorEastAsia" w:eastAsiaTheme="minorEastAsia"/>
          <w:sz w:val="24"/>
          <w:szCs w:val="24"/>
        </w:rPr>
        <w:t>~69岁</w:t>
      </w:r>
      <w:r>
        <w:rPr>
          <w:rFonts w:cs="Arial" w:asciiTheme="minorEastAsia" w:hAnsiTheme="minorEastAsia" w:eastAsiaTheme="minorEastAsia"/>
          <w:sz w:val="24"/>
          <w:szCs w:val="24"/>
        </w:rPr>
        <w:t>居民因心脑血管疾病、</w:t>
      </w:r>
      <w:r>
        <w:rPr>
          <w:rFonts w:hint="eastAsia" w:cs="Arial" w:asciiTheme="minorEastAsia" w:hAnsiTheme="minorEastAsia" w:eastAsiaTheme="minorEastAsia"/>
          <w:sz w:val="24"/>
          <w:szCs w:val="24"/>
        </w:rPr>
        <w:t>恶性肿瘤</w:t>
      </w:r>
      <w:r>
        <w:rPr>
          <w:rFonts w:cs="Arial" w:asciiTheme="minorEastAsia" w:hAnsiTheme="minorEastAsia" w:eastAsiaTheme="minorEastAsia"/>
          <w:sz w:val="24"/>
          <w:szCs w:val="24"/>
        </w:rPr>
        <w:t>、慢性呼吸系统疾病和糖尿病等四类重大慢性病导致的过早死亡率</w:t>
      </w:r>
      <w:r>
        <w:rPr>
          <w:rFonts w:hint="eastAsia" w:cs="Arial" w:asciiTheme="minorEastAsia" w:hAnsiTheme="minorEastAsia" w:eastAsiaTheme="minorEastAsia"/>
          <w:sz w:val="24"/>
          <w:szCs w:val="24"/>
        </w:rPr>
        <w:t>分别</w:t>
      </w:r>
      <w:r>
        <w:rPr>
          <w:rFonts w:cs="Arial" w:asciiTheme="minorEastAsia" w:hAnsiTheme="minorEastAsia" w:eastAsiaTheme="minorEastAsia"/>
          <w:sz w:val="24"/>
          <w:szCs w:val="24"/>
        </w:rPr>
        <w:t>为</w:t>
      </w:r>
      <w:r>
        <w:rPr>
          <w:rFonts w:hint="eastAsia" w:cs="Arial" w:asciiTheme="minorEastAsia" w:hAnsiTheme="minorEastAsia" w:eastAsiaTheme="minorEastAsia"/>
          <w:sz w:val="24"/>
          <w:szCs w:val="24"/>
        </w:rPr>
        <w:t>12.06</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11.86</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11.09</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10.62</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10.34</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重大慢性病过早死亡率5年下降14.26%。</w:t>
      </w:r>
    </w:p>
    <w:p>
      <w:pPr>
        <w:pStyle w:val="10"/>
        <w:spacing w:before="0" w:after="0" w:line="360" w:lineRule="auto"/>
        <w:jc w:val="left"/>
        <w:outlineLvl w:val="9"/>
        <w:rPr>
          <w:rFonts w:cs="宋体" w:asciiTheme="minorEastAsia" w:hAnsiTheme="minorEastAsia"/>
          <w:sz w:val="28"/>
          <w:szCs w:val="28"/>
        </w:rPr>
      </w:pPr>
      <w:r>
        <w:rPr>
          <w:rFonts w:hint="eastAsia" w:cs="宋体" w:asciiTheme="minorEastAsia" w:hAnsiTheme="minorEastAsia"/>
          <w:sz w:val="28"/>
          <w:szCs w:val="28"/>
        </w:rPr>
        <w:t>8、不同年龄段主要死因</w:t>
      </w:r>
    </w:p>
    <w:p>
      <w:pPr>
        <w:pStyle w:val="10"/>
        <w:spacing w:before="0" w:after="0" w:line="360" w:lineRule="auto"/>
        <w:ind w:firstLine="660" w:firstLineChars="300"/>
        <w:jc w:val="left"/>
        <w:outlineLvl w:val="9"/>
        <w:rPr>
          <w:rFonts w:ascii="宋体" w:hAnsi="宋体"/>
          <w:sz w:val="22"/>
          <w:szCs w:val="22"/>
        </w:rPr>
      </w:pPr>
      <w:r>
        <w:rPr>
          <w:rFonts w:hint="eastAsia" w:cs="宋体" w:asciiTheme="minorEastAsia" w:hAnsiTheme="minorEastAsia"/>
          <w:b w:val="0"/>
          <w:sz w:val="22"/>
          <w:szCs w:val="22"/>
        </w:rPr>
        <w:t>2019年瑞安市户籍居民不同年龄段死因顺位中，</w:t>
      </w:r>
      <w:r>
        <w:rPr>
          <w:rFonts w:hint="eastAsia" w:ascii="宋体" w:hAnsi="宋体"/>
          <w:b w:val="0"/>
          <w:sz w:val="22"/>
          <w:szCs w:val="22"/>
        </w:rPr>
        <w:t>0</w:t>
      </w:r>
      <w:r>
        <w:rPr>
          <w:rFonts w:hint="eastAsia" w:ascii="宋体" w:hAnsi="宋体" w:cs="宋体"/>
          <w:b w:val="0"/>
          <w:kern w:val="0"/>
          <w:sz w:val="22"/>
          <w:szCs w:val="22"/>
        </w:rPr>
        <w:t>～</w:t>
      </w:r>
      <w:r>
        <w:rPr>
          <w:rFonts w:hint="eastAsia" w:ascii="宋体" w:hAnsi="宋体"/>
          <w:b w:val="0"/>
          <w:sz w:val="22"/>
          <w:szCs w:val="22"/>
        </w:rPr>
        <w:t>14岁儿童死亡率23.02/10万，其中男女各为23.11/10万、22.95/10万；前三位死因为</w:t>
      </w:r>
      <w:bookmarkStart w:id="3" w:name="OLE_LINK18"/>
      <w:r>
        <w:rPr>
          <w:rFonts w:hint="eastAsia" w:ascii="宋体" w:hAnsi="宋体"/>
          <w:b w:val="0"/>
          <w:sz w:val="22"/>
          <w:szCs w:val="22"/>
        </w:rPr>
        <w:t>损伤中毒，先天异常,围生期病，死亡率分别为6.51/10万、5.01/10万和</w:t>
      </w:r>
      <w:bookmarkStart w:id="4" w:name="OLE_LINK16"/>
      <w:r>
        <w:rPr>
          <w:rFonts w:hint="eastAsia" w:ascii="宋体" w:hAnsi="宋体"/>
          <w:b w:val="0"/>
          <w:sz w:val="22"/>
          <w:szCs w:val="22"/>
        </w:rPr>
        <w:t>3.00/10万</w:t>
      </w:r>
      <w:bookmarkEnd w:id="3"/>
      <w:bookmarkEnd w:id="4"/>
      <w:r>
        <w:rPr>
          <w:rFonts w:hint="eastAsia" w:ascii="宋体" w:hAnsi="宋体"/>
          <w:b w:val="0"/>
          <w:sz w:val="22"/>
          <w:szCs w:val="22"/>
        </w:rPr>
        <w:t>，前三位死因占0</w:t>
      </w:r>
      <w:r>
        <w:rPr>
          <w:rFonts w:hint="eastAsia" w:ascii="宋体" w:hAnsi="宋体" w:cs="宋体"/>
          <w:b w:val="0"/>
          <w:kern w:val="0"/>
          <w:sz w:val="22"/>
          <w:szCs w:val="22"/>
        </w:rPr>
        <w:t>～</w:t>
      </w:r>
      <w:r>
        <w:rPr>
          <w:rFonts w:hint="eastAsia" w:ascii="宋体" w:hAnsi="宋体"/>
          <w:b w:val="0"/>
          <w:sz w:val="22"/>
          <w:szCs w:val="22"/>
        </w:rPr>
        <w:t>14岁组儿童死亡的63.04%。</w:t>
      </w:r>
      <w:bookmarkStart w:id="5" w:name="OLE_LINK21"/>
      <w:bookmarkStart w:id="6" w:name="OLE_LINK20"/>
      <w:r>
        <w:rPr>
          <w:rFonts w:hint="eastAsia" w:ascii="宋体" w:hAnsi="宋体"/>
          <w:b w:val="0"/>
          <w:sz w:val="22"/>
          <w:szCs w:val="22"/>
        </w:rPr>
        <w:t>15</w:t>
      </w:r>
      <w:r>
        <w:rPr>
          <w:rFonts w:hint="eastAsia" w:ascii="宋体" w:hAnsi="宋体" w:cs="宋体"/>
          <w:b w:val="0"/>
          <w:kern w:val="0"/>
          <w:sz w:val="22"/>
          <w:szCs w:val="22"/>
        </w:rPr>
        <w:t>～</w:t>
      </w:r>
      <w:bookmarkEnd w:id="5"/>
      <w:bookmarkEnd w:id="6"/>
      <w:bookmarkStart w:id="7" w:name="OLE_LINK17"/>
      <w:r>
        <w:rPr>
          <w:rFonts w:hint="eastAsia" w:ascii="宋体" w:hAnsi="宋体"/>
          <w:b w:val="0"/>
          <w:sz w:val="22"/>
          <w:szCs w:val="22"/>
        </w:rPr>
        <w:t>44岁年龄组死亡率为41.11/10万</w:t>
      </w:r>
      <w:bookmarkEnd w:id="7"/>
      <w:r>
        <w:rPr>
          <w:rFonts w:hint="eastAsia" w:ascii="宋体" w:hAnsi="宋体"/>
          <w:b w:val="0"/>
          <w:sz w:val="22"/>
          <w:szCs w:val="22"/>
        </w:rPr>
        <w:t>，前三位死因为肿瘤、损伤中毒和循环系统疾病，死亡率分别为16.25</w:t>
      </w:r>
      <w:r>
        <w:rPr>
          <w:rFonts w:ascii="宋体" w:hAnsi="宋体"/>
          <w:b w:val="0"/>
          <w:sz w:val="22"/>
          <w:szCs w:val="22"/>
        </w:rPr>
        <w:t>/10</w:t>
      </w:r>
      <w:r>
        <w:rPr>
          <w:rFonts w:hint="eastAsia" w:ascii="宋体" w:hAnsi="宋体"/>
          <w:b w:val="0"/>
          <w:sz w:val="22"/>
          <w:szCs w:val="22"/>
        </w:rPr>
        <w:t>万、10.77</w:t>
      </w:r>
      <w:r>
        <w:rPr>
          <w:rFonts w:ascii="宋体" w:hAnsi="宋体"/>
          <w:b w:val="0"/>
          <w:sz w:val="22"/>
          <w:szCs w:val="22"/>
        </w:rPr>
        <w:t>/10</w:t>
      </w:r>
      <w:r>
        <w:rPr>
          <w:rFonts w:hint="eastAsia" w:ascii="宋体" w:hAnsi="宋体"/>
          <w:b w:val="0"/>
          <w:sz w:val="22"/>
          <w:szCs w:val="22"/>
        </w:rPr>
        <w:t>万和8.42</w:t>
      </w:r>
      <w:r>
        <w:rPr>
          <w:rFonts w:ascii="宋体" w:hAnsi="宋体"/>
          <w:b w:val="0"/>
          <w:sz w:val="22"/>
          <w:szCs w:val="22"/>
        </w:rPr>
        <w:t>/10</w:t>
      </w:r>
      <w:r>
        <w:rPr>
          <w:rFonts w:hint="eastAsia" w:ascii="宋体" w:hAnsi="宋体"/>
          <w:b w:val="0"/>
          <w:sz w:val="22"/>
          <w:szCs w:val="22"/>
        </w:rPr>
        <w:t>万，前三位死因占15</w:t>
      </w:r>
      <w:r>
        <w:rPr>
          <w:rFonts w:hint="eastAsia" w:ascii="宋体" w:hAnsi="宋体" w:cs="宋体"/>
          <w:b w:val="0"/>
          <w:kern w:val="0"/>
          <w:sz w:val="22"/>
          <w:szCs w:val="22"/>
        </w:rPr>
        <w:t>～</w:t>
      </w:r>
      <w:r>
        <w:rPr>
          <w:rFonts w:hint="eastAsia" w:ascii="宋体" w:hAnsi="宋体"/>
          <w:b w:val="0"/>
          <w:sz w:val="22"/>
          <w:szCs w:val="22"/>
        </w:rPr>
        <w:t>39岁组总死亡的86.19％。45</w:t>
      </w:r>
      <w:r>
        <w:rPr>
          <w:rFonts w:hint="eastAsia" w:ascii="宋体" w:hAnsi="宋体" w:cs="宋体"/>
          <w:b w:val="0"/>
          <w:kern w:val="0"/>
          <w:sz w:val="22"/>
          <w:szCs w:val="22"/>
        </w:rPr>
        <w:t>～</w:t>
      </w:r>
      <w:r>
        <w:rPr>
          <w:rFonts w:hint="eastAsia" w:ascii="宋体" w:hAnsi="宋体"/>
          <w:b w:val="0"/>
          <w:sz w:val="22"/>
          <w:szCs w:val="22"/>
        </w:rPr>
        <w:t>64岁年龄组死亡率为293.69</w:t>
      </w:r>
      <w:r>
        <w:rPr>
          <w:rFonts w:ascii="宋体" w:hAnsi="宋体"/>
          <w:b w:val="0"/>
          <w:sz w:val="22"/>
          <w:szCs w:val="22"/>
        </w:rPr>
        <w:t>/10</w:t>
      </w:r>
      <w:r>
        <w:rPr>
          <w:rFonts w:hint="eastAsia" w:ascii="宋体" w:hAnsi="宋体"/>
          <w:b w:val="0"/>
          <w:sz w:val="22"/>
          <w:szCs w:val="22"/>
        </w:rPr>
        <w:t>万, 男女各为406.59</w:t>
      </w:r>
      <w:r>
        <w:rPr>
          <w:rFonts w:ascii="宋体" w:hAnsi="宋体"/>
          <w:b w:val="0"/>
          <w:sz w:val="22"/>
          <w:szCs w:val="22"/>
        </w:rPr>
        <w:t>/10</w:t>
      </w:r>
      <w:r>
        <w:rPr>
          <w:rFonts w:hint="eastAsia" w:ascii="宋体" w:hAnsi="宋体"/>
          <w:b w:val="0"/>
          <w:sz w:val="22"/>
          <w:szCs w:val="22"/>
        </w:rPr>
        <w:t>万、181.56</w:t>
      </w:r>
      <w:r>
        <w:rPr>
          <w:rFonts w:ascii="宋体" w:hAnsi="宋体"/>
          <w:b w:val="0"/>
          <w:sz w:val="22"/>
          <w:szCs w:val="22"/>
        </w:rPr>
        <w:t>/10</w:t>
      </w:r>
      <w:r>
        <w:rPr>
          <w:rFonts w:hint="eastAsia" w:ascii="宋体" w:hAnsi="宋体"/>
          <w:b w:val="0"/>
          <w:sz w:val="22"/>
          <w:szCs w:val="22"/>
        </w:rPr>
        <w:t>万；前三位死因为肿瘤、循环系统疾病和损伤中毒，死亡率分别为165.69</w:t>
      </w:r>
      <w:r>
        <w:rPr>
          <w:rFonts w:ascii="宋体" w:hAnsi="宋体"/>
          <w:b w:val="0"/>
          <w:sz w:val="22"/>
          <w:szCs w:val="22"/>
        </w:rPr>
        <w:t>/10</w:t>
      </w:r>
      <w:r>
        <w:rPr>
          <w:rFonts w:hint="eastAsia" w:ascii="宋体" w:hAnsi="宋体"/>
          <w:b w:val="0"/>
          <w:sz w:val="22"/>
          <w:szCs w:val="22"/>
        </w:rPr>
        <w:t>万、62.04</w:t>
      </w:r>
      <w:r>
        <w:rPr>
          <w:rFonts w:ascii="宋体" w:hAnsi="宋体"/>
          <w:b w:val="0"/>
          <w:sz w:val="22"/>
          <w:szCs w:val="22"/>
        </w:rPr>
        <w:t>/10</w:t>
      </w:r>
      <w:r>
        <w:rPr>
          <w:rFonts w:hint="eastAsia" w:ascii="宋体" w:hAnsi="宋体"/>
          <w:b w:val="0"/>
          <w:sz w:val="22"/>
          <w:szCs w:val="22"/>
        </w:rPr>
        <w:t>万和28.53</w:t>
      </w:r>
      <w:r>
        <w:rPr>
          <w:rFonts w:ascii="宋体" w:hAnsi="宋体"/>
          <w:b w:val="0"/>
          <w:sz w:val="22"/>
          <w:szCs w:val="22"/>
        </w:rPr>
        <w:t>/10</w:t>
      </w:r>
      <w:r>
        <w:rPr>
          <w:rFonts w:hint="eastAsia" w:ascii="宋体" w:hAnsi="宋体"/>
          <w:b w:val="0"/>
          <w:sz w:val="22"/>
          <w:szCs w:val="22"/>
        </w:rPr>
        <w:t>万，前三位死因占该年龄段死亡的87.25％。65岁年龄组及以上老年组死亡率为3333.29</w:t>
      </w:r>
      <w:r>
        <w:rPr>
          <w:rFonts w:ascii="宋体" w:hAnsi="宋体"/>
          <w:b w:val="0"/>
          <w:sz w:val="22"/>
          <w:szCs w:val="22"/>
        </w:rPr>
        <w:t>/10</w:t>
      </w:r>
      <w:r>
        <w:rPr>
          <w:rFonts w:hint="eastAsia" w:ascii="宋体" w:hAnsi="宋体"/>
          <w:b w:val="0"/>
          <w:sz w:val="22"/>
          <w:szCs w:val="22"/>
        </w:rPr>
        <w:t>万，前三位死因为循环系统疾病、肿瘤和呼吸系统疾病，死亡率分别为1542.17</w:t>
      </w:r>
      <w:r>
        <w:rPr>
          <w:rFonts w:ascii="宋体" w:hAnsi="宋体"/>
          <w:b w:val="0"/>
          <w:sz w:val="22"/>
          <w:szCs w:val="22"/>
        </w:rPr>
        <w:t>/10</w:t>
      </w:r>
      <w:r>
        <w:rPr>
          <w:rFonts w:hint="eastAsia" w:ascii="宋体" w:hAnsi="宋体"/>
          <w:b w:val="0"/>
          <w:sz w:val="22"/>
          <w:szCs w:val="22"/>
        </w:rPr>
        <w:t>万、811.86</w:t>
      </w:r>
      <w:r>
        <w:rPr>
          <w:rFonts w:ascii="宋体" w:hAnsi="宋体"/>
          <w:b w:val="0"/>
          <w:sz w:val="22"/>
          <w:szCs w:val="22"/>
        </w:rPr>
        <w:t xml:space="preserve"> /10</w:t>
      </w:r>
      <w:r>
        <w:rPr>
          <w:rFonts w:hint="eastAsia" w:ascii="宋体" w:hAnsi="宋体"/>
          <w:b w:val="0"/>
          <w:sz w:val="22"/>
          <w:szCs w:val="22"/>
        </w:rPr>
        <w:t>万和259.38</w:t>
      </w:r>
      <w:r>
        <w:rPr>
          <w:rFonts w:ascii="宋体" w:hAnsi="宋体"/>
          <w:b w:val="0"/>
          <w:sz w:val="22"/>
          <w:szCs w:val="22"/>
        </w:rPr>
        <w:t>/10</w:t>
      </w:r>
      <w:r>
        <w:rPr>
          <w:rFonts w:hint="eastAsia" w:ascii="宋体" w:hAnsi="宋体"/>
          <w:b w:val="0"/>
          <w:sz w:val="22"/>
          <w:szCs w:val="22"/>
        </w:rPr>
        <w:t>万，前三位死因占该年龄组死亡的78.41％</w:t>
      </w:r>
      <w:r>
        <w:rPr>
          <w:rFonts w:hint="eastAsia" w:ascii="宋体" w:hAnsi="宋体"/>
          <w:sz w:val="22"/>
          <w:szCs w:val="22"/>
        </w:rPr>
        <w:t>。</w:t>
      </w:r>
    </w:p>
    <w:p>
      <w:pPr>
        <w:pStyle w:val="10"/>
        <w:spacing w:before="0" w:after="0" w:line="360" w:lineRule="auto"/>
        <w:jc w:val="left"/>
        <w:outlineLvl w:val="9"/>
        <w:rPr>
          <w:rFonts w:cs="宋体" w:asciiTheme="minorEastAsia" w:hAnsiTheme="minorEastAsia"/>
          <w:sz w:val="28"/>
          <w:szCs w:val="28"/>
        </w:rPr>
      </w:pPr>
      <w:r>
        <w:rPr>
          <w:rFonts w:hint="eastAsia" w:cs="宋体" w:asciiTheme="minorEastAsia" w:hAnsiTheme="minorEastAsia"/>
          <w:sz w:val="28"/>
          <w:szCs w:val="28"/>
        </w:rPr>
        <w:t>9、伤害死因分析</w:t>
      </w:r>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2019年共报告损伤中毒死亡个案479例，报告死亡率38.14/10万，；男女报告死亡42.11/10万、33.97/10万。2019年人群损伤和中毒的前4位死因依次为意外跌落、机动车辆交通事故、淹死、自杀，报告死亡率依次为18.79/10万、8.60/10万、4.06/10万、2.71/10万，合计占全部损伤和中毒死亡的89.57%。</w:t>
      </w:r>
    </w:p>
    <w:bookmarkEnd w:id="2"/>
    <w:p>
      <w:pPr>
        <w:spacing w:line="360" w:lineRule="auto"/>
        <w:rPr>
          <w:rFonts w:hAnsi="宋体"/>
          <w:b/>
          <w:sz w:val="32"/>
          <w:szCs w:val="32"/>
        </w:rPr>
      </w:pPr>
      <w:bookmarkStart w:id="8" w:name="_Toc364026654"/>
      <w:bookmarkStart w:id="9" w:name="_Toc364026655"/>
      <w:r>
        <w:rPr>
          <w:rFonts w:hAnsi="宋体"/>
          <w:b/>
          <w:sz w:val="32"/>
          <w:szCs w:val="32"/>
        </w:rPr>
        <w:t>（二）主要慢性病发病情况</w:t>
      </w:r>
      <w:bookmarkEnd w:id="8"/>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1、 糖尿病</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1.1糖尿病报告病例：2015年共报告糖尿病病例5346例，报告发病率为482.77/10万，其中</w:t>
      </w:r>
      <w:r>
        <w:rPr>
          <w:rFonts w:hint="eastAsia" w:cs="宋体" w:asciiTheme="minorEastAsia" w:hAnsiTheme="minorEastAsia" w:eastAsiaTheme="minorEastAsia"/>
          <w:sz w:val="24"/>
          <w:szCs w:val="24"/>
        </w:rPr>
        <w:t>2型糖尿病3555</w:t>
      </w:r>
      <w:r>
        <w:rPr>
          <w:rFonts w:hint="eastAsia" w:asciiTheme="minorEastAsia" w:hAnsiTheme="minorEastAsia" w:eastAsiaTheme="minorEastAsia"/>
          <w:sz w:val="24"/>
          <w:szCs w:val="24"/>
        </w:rPr>
        <w:t>例；2016年共报告糖尿病病例5450例，报告发病率为491.26 /10万，其中</w:t>
      </w:r>
      <w:r>
        <w:rPr>
          <w:rFonts w:hint="eastAsia" w:cs="宋体" w:asciiTheme="minorEastAsia" w:hAnsiTheme="minorEastAsia" w:eastAsiaTheme="minorEastAsia"/>
          <w:sz w:val="24"/>
          <w:szCs w:val="24"/>
        </w:rPr>
        <w:t>2型糖尿病3187</w:t>
      </w:r>
      <w:r>
        <w:rPr>
          <w:rFonts w:hint="eastAsia" w:asciiTheme="minorEastAsia" w:hAnsiTheme="minorEastAsia" w:eastAsiaTheme="minorEastAsia"/>
          <w:sz w:val="24"/>
          <w:szCs w:val="24"/>
        </w:rPr>
        <w:t>例；2017年共报告糖尿病病例4332例，报告发病率为390.92/10万，其中</w:t>
      </w:r>
      <w:r>
        <w:rPr>
          <w:rFonts w:hint="eastAsia" w:cs="宋体" w:asciiTheme="minorEastAsia" w:hAnsiTheme="minorEastAsia" w:eastAsiaTheme="minorEastAsia"/>
          <w:sz w:val="24"/>
          <w:szCs w:val="24"/>
        </w:rPr>
        <w:t>2型糖尿病2517</w:t>
      </w:r>
      <w:r>
        <w:rPr>
          <w:rFonts w:hint="eastAsia" w:asciiTheme="minorEastAsia" w:hAnsiTheme="minorEastAsia" w:eastAsiaTheme="minorEastAsia"/>
          <w:sz w:val="24"/>
          <w:szCs w:val="24"/>
        </w:rPr>
        <w:t>例；2018年共报告糖尿病病例4021例，报告发病率为363.15/10万，其中</w:t>
      </w:r>
      <w:r>
        <w:rPr>
          <w:rFonts w:hint="eastAsia" w:cs="宋体" w:asciiTheme="minorEastAsia" w:hAnsiTheme="minorEastAsia" w:eastAsiaTheme="minorEastAsia"/>
          <w:sz w:val="24"/>
          <w:szCs w:val="24"/>
        </w:rPr>
        <w:t>2型糖尿病2470</w:t>
      </w:r>
      <w:r>
        <w:rPr>
          <w:rFonts w:hint="eastAsia" w:asciiTheme="minorEastAsia" w:hAnsiTheme="minorEastAsia" w:eastAsiaTheme="minorEastAsia"/>
          <w:sz w:val="24"/>
          <w:szCs w:val="24"/>
        </w:rPr>
        <w:t>例；2019年共报告糖尿病病例4378例，报告发病率为348.62/10万，其中</w:t>
      </w:r>
      <w:r>
        <w:rPr>
          <w:rFonts w:hint="eastAsia" w:cs="宋体" w:asciiTheme="minorEastAsia" w:hAnsiTheme="minorEastAsia" w:eastAsiaTheme="minorEastAsia"/>
          <w:sz w:val="24"/>
          <w:szCs w:val="24"/>
        </w:rPr>
        <w:t>2型糖尿病2316</w:t>
      </w:r>
      <w:r>
        <w:rPr>
          <w:rFonts w:hint="eastAsia" w:asciiTheme="minorEastAsia" w:hAnsiTheme="minorEastAsia" w:eastAsiaTheme="minorEastAsia"/>
          <w:sz w:val="24"/>
          <w:szCs w:val="24"/>
        </w:rPr>
        <w:t>例。</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2015-2019 年我市糖尿病总发病率波动较大：2015至2016年糖尿病总发病率有所上升，2017年开始总发病率逐年下降。其中</w:t>
      </w:r>
      <w:r>
        <w:rPr>
          <w:rFonts w:hint="eastAsia" w:cs="宋体" w:asciiTheme="minorEastAsia" w:hAnsiTheme="minorEastAsia" w:eastAsiaTheme="minorEastAsia"/>
          <w:sz w:val="24"/>
          <w:szCs w:val="24"/>
        </w:rPr>
        <w:t>2型糖尿病</w:t>
      </w:r>
      <w:r>
        <w:rPr>
          <w:rFonts w:hint="eastAsia" w:asciiTheme="minorEastAsia" w:hAnsiTheme="minorEastAsia" w:eastAsiaTheme="minorEastAsia"/>
          <w:sz w:val="24"/>
          <w:szCs w:val="24"/>
        </w:rPr>
        <w:t>发病率总体趋势基本一致，但全部呈下降趋势，见图9.</w:t>
      </w:r>
    </w:p>
    <w:p>
      <w:pPr>
        <w:spacing w:line="360" w:lineRule="auto"/>
        <w:ind w:firstLine="440" w:firstLineChars="200"/>
      </w:pPr>
      <w:r>
        <w:drawing>
          <wp:inline distT="0" distB="0" distL="0" distR="0">
            <wp:extent cx="4572000" cy="2743200"/>
            <wp:effectExtent l="0" t="0" r="0" b="0"/>
            <wp:docPr id="4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10"/>
        <w:spacing w:after="0" w:line="360" w:lineRule="auto"/>
        <w:ind w:firstLine="440" w:firstLineChars="200"/>
        <w:rPr>
          <w:rFonts w:ascii="宋体" w:hAnsi="宋体" w:eastAsia="宋体" w:cs="宋体"/>
          <w:b w:val="0"/>
          <w:sz w:val="22"/>
          <w:szCs w:val="22"/>
        </w:rPr>
      </w:pPr>
      <w:r>
        <w:rPr>
          <w:rFonts w:hint="eastAsia" w:ascii="宋体" w:hAnsi="宋体" w:eastAsia="宋体" w:cs="宋体"/>
          <w:b w:val="0"/>
          <w:sz w:val="22"/>
          <w:szCs w:val="22"/>
        </w:rPr>
        <w:t>图9   2015-2019年瑞安市糖尿病发病率</w:t>
      </w:r>
      <w:r>
        <w:rPr>
          <w:rFonts w:hint="eastAsia" w:cs="宋体" w:asciiTheme="minorEastAsia" w:hAnsiTheme="minorEastAsia"/>
          <w:b w:val="0"/>
          <w:bCs w:val="0"/>
          <w:sz w:val="22"/>
          <w:szCs w:val="22"/>
        </w:rPr>
        <w:t>（1/10万）</w:t>
      </w:r>
    </w:p>
    <w:p>
      <w:pPr>
        <w:pStyle w:val="10"/>
        <w:spacing w:before="0" w:after="0" w:line="360" w:lineRule="auto"/>
        <w:ind w:firstLine="480" w:firstLineChars="200"/>
        <w:jc w:val="left"/>
        <w:outlineLvl w:val="9"/>
        <w:rPr>
          <w:rFonts w:ascii="宋体" w:hAnsi="宋体" w:eastAsia="宋体" w:cs="宋体"/>
          <w:b w:val="0"/>
          <w:sz w:val="24"/>
          <w:szCs w:val="24"/>
        </w:rPr>
      </w:pPr>
      <w:r>
        <w:rPr>
          <w:rFonts w:hint="eastAsia" w:ascii="宋体" w:hAnsi="宋体" w:eastAsia="宋体" w:cs="宋体"/>
          <w:b w:val="0"/>
          <w:sz w:val="24"/>
          <w:szCs w:val="24"/>
        </w:rPr>
        <w:t>1.2糖尿病性别发病情况：2015年共报告糖尿病病例5346人，其中男性2609人，女性2737人；2016年共报告糖尿病病例5450人，其中男性2366人，女性3084人；2017年共报告糖尿病病例4332人，其中男性1796人，女性2536人；2018年共报告糖尿病病例4021人，其中男性1770人，女性2251人；2019年共报告糖尿病病例4378人，其中男性1967人，女性2411人。</w:t>
      </w:r>
    </w:p>
    <w:p>
      <w:pPr>
        <w:pStyle w:val="10"/>
        <w:spacing w:before="0" w:after="0" w:line="360" w:lineRule="auto"/>
        <w:ind w:firstLine="480" w:firstLineChars="200"/>
        <w:jc w:val="left"/>
        <w:outlineLvl w:val="9"/>
        <w:rPr>
          <w:rFonts w:ascii="宋体" w:hAnsi="宋体" w:eastAsia="宋体" w:cs="宋体"/>
          <w:b w:val="0"/>
          <w:sz w:val="24"/>
          <w:szCs w:val="24"/>
        </w:rPr>
      </w:pPr>
      <w:r>
        <w:rPr>
          <w:rFonts w:hint="eastAsia" w:ascii="宋体" w:hAnsi="宋体" w:eastAsia="宋体" w:cs="宋体"/>
          <w:b w:val="0"/>
          <w:sz w:val="24"/>
          <w:szCs w:val="24"/>
        </w:rPr>
        <w:t>2015年－2019年男性糖尿病的发病率均比女性低。见图10.</w:t>
      </w:r>
    </w:p>
    <w:p>
      <w:pPr>
        <w:pStyle w:val="10"/>
        <w:spacing w:after="0" w:line="360" w:lineRule="auto"/>
        <w:ind w:firstLine="440" w:firstLineChars="200"/>
        <w:rPr>
          <w:rFonts w:ascii="宋体" w:hAnsi="宋体" w:eastAsia="宋体" w:cs="宋体"/>
          <w:b w:val="0"/>
          <w:sz w:val="22"/>
          <w:szCs w:val="22"/>
        </w:rPr>
      </w:pPr>
      <w:r>
        <w:rPr>
          <w:rFonts w:ascii="宋体" w:hAnsi="宋体" w:eastAsia="宋体" w:cs="宋体"/>
          <w:b w:val="0"/>
          <w:sz w:val="22"/>
          <w:szCs w:val="22"/>
        </w:rPr>
        <w:drawing>
          <wp:inline distT="0" distB="0" distL="0" distR="0">
            <wp:extent cx="4572000" cy="2743200"/>
            <wp:effectExtent l="19050" t="0" r="0" b="0"/>
            <wp:docPr id="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pStyle w:val="10"/>
        <w:spacing w:after="0" w:line="360" w:lineRule="auto"/>
        <w:ind w:firstLine="440" w:firstLineChars="200"/>
        <w:rPr>
          <w:rFonts w:ascii="宋体" w:hAnsi="宋体" w:eastAsia="宋体" w:cs="宋体"/>
          <w:b w:val="0"/>
          <w:sz w:val="22"/>
          <w:szCs w:val="22"/>
        </w:rPr>
      </w:pPr>
      <w:r>
        <w:rPr>
          <w:rFonts w:hint="eastAsia" w:ascii="宋体" w:hAnsi="宋体" w:eastAsia="宋体" w:cs="宋体"/>
          <w:b w:val="0"/>
          <w:sz w:val="22"/>
          <w:szCs w:val="22"/>
        </w:rPr>
        <w:t>图10   2015-2019年瑞安市糖尿病分性别发病率</w:t>
      </w:r>
      <w:r>
        <w:rPr>
          <w:rFonts w:hint="eastAsia" w:cs="宋体" w:asciiTheme="minorEastAsia" w:hAnsiTheme="minorEastAsia"/>
          <w:b w:val="0"/>
          <w:bCs w:val="0"/>
          <w:sz w:val="22"/>
          <w:szCs w:val="22"/>
        </w:rPr>
        <w:t>（1/10万）</w:t>
      </w:r>
    </w:p>
    <w:p>
      <w:pPr>
        <w:pStyle w:val="10"/>
        <w:spacing w:after="0" w:line="360" w:lineRule="auto"/>
        <w:ind w:firstLine="482" w:firstLineChars="200"/>
        <w:jc w:val="left"/>
        <w:outlineLvl w:val="9"/>
        <w:rPr>
          <w:rFonts w:ascii="宋体" w:hAnsi="宋体" w:eastAsia="宋体" w:cs="宋体"/>
          <w:sz w:val="24"/>
          <w:szCs w:val="24"/>
        </w:rPr>
      </w:pPr>
      <w:r>
        <w:rPr>
          <w:rFonts w:hint="eastAsia" w:cs="宋体" w:asciiTheme="minorEastAsia" w:hAnsiTheme="minorEastAsia"/>
          <w:sz w:val="24"/>
          <w:szCs w:val="24"/>
        </w:rPr>
        <w:t>1.3</w:t>
      </w:r>
      <w:r>
        <w:rPr>
          <w:rFonts w:hint="eastAsia" w:ascii="宋体" w:hAnsi="宋体" w:eastAsia="宋体" w:cs="宋体"/>
          <w:b w:val="0"/>
          <w:bCs w:val="0"/>
          <w:sz w:val="24"/>
          <w:szCs w:val="24"/>
        </w:rPr>
        <w:t>糖尿病性别发病情况：我市</w:t>
      </w:r>
      <w:r>
        <w:rPr>
          <w:rFonts w:ascii="宋体" w:hAnsi="宋体" w:eastAsia="宋体" w:cs="宋体"/>
          <w:b w:val="0"/>
          <w:bCs w:val="0"/>
          <w:sz w:val="24"/>
          <w:szCs w:val="24"/>
        </w:rPr>
        <w:t>2015-2019年糖尿病发病率随着年龄的增长而上升，其中女性在20~达到一个小高峰，后下降，40~岁组以后人群的发病率随着年龄的增长而上升的速度较快。</w:t>
      </w:r>
      <w:r>
        <w:rPr>
          <w:rFonts w:hint="eastAsia" w:ascii="宋体" w:hAnsi="宋体" w:eastAsia="宋体" w:cs="宋体"/>
          <w:b w:val="0"/>
          <w:bCs w:val="0"/>
          <w:sz w:val="24"/>
          <w:szCs w:val="24"/>
        </w:rPr>
        <w:t>见图</w:t>
      </w:r>
      <w:r>
        <w:rPr>
          <w:rFonts w:ascii="宋体" w:hAnsi="宋体" w:eastAsia="宋体" w:cs="宋体"/>
          <w:b w:val="0"/>
          <w:bCs w:val="0"/>
          <w:sz w:val="24"/>
          <w:szCs w:val="24"/>
        </w:rPr>
        <w:t>11.</w:t>
      </w:r>
    </w:p>
    <w:p>
      <w:pPr>
        <w:pStyle w:val="10"/>
        <w:spacing w:after="0" w:line="360" w:lineRule="auto"/>
        <w:jc w:val="left"/>
        <w:rPr>
          <w:rFonts w:ascii="宋体" w:hAnsi="宋体" w:eastAsia="宋体" w:cs="宋体"/>
          <w:b w:val="0"/>
          <w:sz w:val="22"/>
          <w:szCs w:val="22"/>
        </w:rPr>
      </w:pPr>
    </w:p>
    <w:p>
      <w:pPr>
        <w:pStyle w:val="10"/>
        <w:spacing w:after="0" w:line="360" w:lineRule="auto"/>
        <w:jc w:val="left"/>
        <w:rPr>
          <w:rFonts w:ascii="宋体" w:hAnsi="宋体" w:eastAsia="宋体" w:cs="宋体"/>
          <w:b w:val="0"/>
          <w:sz w:val="22"/>
          <w:szCs w:val="22"/>
        </w:rPr>
      </w:pPr>
      <w:r>
        <w:rPr>
          <w:rFonts w:ascii="宋体" w:hAnsi="宋体" w:eastAsia="宋体" w:cs="宋体"/>
          <w:b w:val="0"/>
          <w:sz w:val="22"/>
          <w:szCs w:val="22"/>
        </w:rPr>
        <w:drawing>
          <wp:inline distT="0" distB="0" distL="0" distR="0">
            <wp:extent cx="5274310" cy="2362200"/>
            <wp:effectExtent l="19050" t="0" r="2540" b="0"/>
            <wp:docPr id="34"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pStyle w:val="10"/>
        <w:spacing w:after="0" w:line="360" w:lineRule="auto"/>
        <w:rPr>
          <w:rFonts w:cs="宋体" w:asciiTheme="minorEastAsia" w:hAnsiTheme="minorEastAsia"/>
          <w:b w:val="0"/>
          <w:sz w:val="22"/>
          <w:szCs w:val="22"/>
        </w:rPr>
      </w:pPr>
      <w:r>
        <w:rPr>
          <w:rFonts w:hint="eastAsia" w:cs="宋体" w:asciiTheme="minorEastAsia" w:hAnsiTheme="minorEastAsia"/>
          <w:b w:val="0"/>
          <w:sz w:val="22"/>
          <w:szCs w:val="22"/>
        </w:rPr>
        <w:t>图11   2015-2019年瑞安市糖尿病分性别、分年龄平均发病率</w:t>
      </w:r>
      <w:r>
        <w:rPr>
          <w:rFonts w:hint="eastAsia" w:cs="宋体" w:asciiTheme="minorEastAsia" w:hAnsiTheme="minorEastAsia"/>
          <w:b w:val="0"/>
          <w:bCs w:val="0"/>
          <w:sz w:val="22"/>
          <w:szCs w:val="22"/>
        </w:rPr>
        <w:t>（1/10万）</w:t>
      </w:r>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2、冠心病急性事件</w:t>
      </w:r>
    </w:p>
    <w:p>
      <w:pPr>
        <w:spacing w:after="0" w:line="360" w:lineRule="auto"/>
        <w:ind w:firstLine="480" w:firstLineChars="200"/>
        <w:rPr>
          <w:rFonts w:ascii="宋体" w:hAnsi="宋体" w:eastAsia="宋体"/>
          <w:sz w:val="24"/>
          <w:szCs w:val="24"/>
        </w:rPr>
      </w:pPr>
      <w:r>
        <w:rPr>
          <w:rFonts w:hint="eastAsia" w:ascii="宋体" w:hAnsi="宋体" w:eastAsia="宋体"/>
          <w:sz w:val="24"/>
          <w:szCs w:val="24"/>
        </w:rPr>
        <w:t>2.1冠心病急性事件报告病例：2015年共报告冠心病急性事件病例784例，报告发病率为70.80/10万，其中急性心肌梗死696例、其他冠心病19例、心脏性猝死69例；2016年共报告冠心病急性事件病例843例，报告发病率为66.79/10万，其中急性心肌梗死741例、其他冠心病18例、心脏性猝死84例；2017年共报告冠心病急性事件病例928例，报告发病率为83.74/10万，其中急性心肌梗死839例、其他冠心病39例、心脏性猝死50例；2018年共报告冠心病急性事件病例752例，报告发病率为67.91/10万，其中急性心肌梗死651例、其他冠心病36例、心脏性猝死65例；2019年共报告冠心病急性事件病例532例，报告发病率为42.36 /10万，其中急性心肌梗死354例、其他冠心病78例、心脏性猝死100例；</w:t>
      </w:r>
    </w:p>
    <w:p>
      <w:pPr>
        <w:spacing w:after="0" w:line="360" w:lineRule="auto"/>
        <w:ind w:firstLine="720" w:firstLineChars="300"/>
        <w:rPr>
          <w:rFonts w:ascii="宋体" w:hAnsi="宋体" w:eastAsia="宋体"/>
          <w:sz w:val="24"/>
          <w:szCs w:val="24"/>
        </w:rPr>
      </w:pPr>
      <w:r>
        <w:rPr>
          <w:rFonts w:hint="eastAsia" w:ascii="宋体" w:hAnsi="宋体" w:eastAsia="宋体"/>
          <w:sz w:val="24"/>
          <w:szCs w:val="24"/>
        </w:rPr>
        <w:t>2015-2019 年我市心血管疾病事件总发病率整体呈先上升后下降趋势，其中急性心肌梗死整体发病率趋势一致，其他冠心病发病率与心性猝死的发病率波动不大。见图12.</w:t>
      </w:r>
    </w:p>
    <w:p>
      <w:pPr>
        <w:spacing w:line="360" w:lineRule="auto"/>
      </w:pPr>
      <w:r>
        <w:drawing>
          <wp:inline distT="0" distB="0" distL="0" distR="0">
            <wp:extent cx="5274945" cy="2501265"/>
            <wp:effectExtent l="19050" t="0" r="1821" b="0"/>
            <wp:docPr id="35"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360" w:lineRule="auto"/>
        <w:ind w:firstLine="1320" w:firstLineChars="600"/>
      </w:pPr>
      <w:r>
        <w:rPr>
          <w:rFonts w:hint="eastAsia" w:ascii="宋体" w:hAnsi="宋体" w:eastAsia="宋体" w:cs="宋体"/>
        </w:rPr>
        <w:t>图12   2015-2019年瑞安市各类心血管急性事件发病率</w:t>
      </w:r>
      <w:r>
        <w:rPr>
          <w:rFonts w:hint="eastAsia" w:cs="宋体" w:asciiTheme="minorEastAsia" w:hAnsiTheme="minorEastAsia" w:eastAsiaTheme="minorEastAsia"/>
        </w:rPr>
        <w:t>（1/10万）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2.2 </w:t>
      </w:r>
      <w:r>
        <w:rPr>
          <w:rFonts w:hint="eastAsia" w:ascii="宋体" w:hAnsi="宋体" w:eastAsia="宋体"/>
          <w:sz w:val="24"/>
          <w:szCs w:val="24"/>
        </w:rPr>
        <w:t>冠心病急性事件</w:t>
      </w:r>
      <w:r>
        <w:rPr>
          <w:rFonts w:hint="eastAsia" w:ascii="宋体" w:hAnsi="宋体" w:eastAsia="宋体" w:cs="宋体"/>
          <w:sz w:val="24"/>
          <w:szCs w:val="24"/>
        </w:rPr>
        <w:t>性别发病情况：我市2015-2019年</w:t>
      </w:r>
      <w:r>
        <w:rPr>
          <w:rFonts w:hint="eastAsia" w:ascii="宋体" w:hAnsi="宋体" w:eastAsia="宋体"/>
          <w:sz w:val="24"/>
          <w:szCs w:val="24"/>
        </w:rPr>
        <w:t>冠心病急性事件</w:t>
      </w:r>
      <w:r>
        <w:rPr>
          <w:rFonts w:hint="eastAsia" w:ascii="宋体" w:hAnsi="宋体" w:eastAsia="宋体" w:cs="宋体"/>
          <w:sz w:val="24"/>
          <w:szCs w:val="24"/>
        </w:rPr>
        <w:t>发病情况中，以中、老年发病为主，发病率随着年龄的增长而上升，60~岁组以后人群的发病率随着年龄的增长而上升的速度较快。</w:t>
      </w:r>
      <w:r>
        <w:rPr>
          <w:rFonts w:hint="eastAsia" w:ascii="宋体" w:hAnsi="宋体" w:eastAsia="宋体"/>
          <w:sz w:val="24"/>
          <w:szCs w:val="24"/>
        </w:rPr>
        <w:t>见图13.</w:t>
      </w:r>
    </w:p>
    <w:p>
      <w:pPr>
        <w:spacing w:line="360" w:lineRule="auto"/>
        <w:ind w:firstLine="480" w:firstLineChars="200"/>
        <w:rPr>
          <w:rFonts w:hAnsi="宋体"/>
          <w:sz w:val="24"/>
        </w:rPr>
      </w:pPr>
      <w:r>
        <w:rPr>
          <w:rFonts w:ascii="宋体" w:hAnsi="宋体" w:eastAsia="宋体"/>
          <w:sz w:val="24"/>
          <w:szCs w:val="24"/>
        </w:rPr>
        <w:drawing>
          <wp:inline distT="0" distB="0" distL="0" distR="0">
            <wp:extent cx="5274310" cy="2362200"/>
            <wp:effectExtent l="19050" t="0" r="21590" b="0"/>
            <wp:docPr id="36"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spacing w:line="360" w:lineRule="auto"/>
        <w:ind w:firstLine="440" w:firstLineChars="200"/>
        <w:rPr>
          <w:rFonts w:asciiTheme="minorEastAsia" w:hAnsiTheme="minorEastAsia" w:eastAsiaTheme="minorEastAsia"/>
          <w:sz w:val="24"/>
        </w:rPr>
      </w:pPr>
      <w:r>
        <w:rPr>
          <w:rFonts w:hint="eastAsia" w:cs="宋体" w:asciiTheme="minorEastAsia" w:hAnsiTheme="minorEastAsia" w:eastAsiaTheme="minorEastAsia"/>
        </w:rPr>
        <w:t>图13   2015-2019年瑞安市心脑血管疾病分性别、分年龄平均发病率（1/10万）</w:t>
      </w:r>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3、脑卒中</w:t>
      </w:r>
    </w:p>
    <w:p>
      <w:pPr>
        <w:spacing w:after="0" w:line="360" w:lineRule="auto"/>
        <w:ind w:firstLine="480" w:firstLineChars="200"/>
        <w:rPr>
          <w:rFonts w:ascii="宋体" w:hAnsi="宋体" w:eastAsia="宋体"/>
          <w:sz w:val="24"/>
          <w:szCs w:val="24"/>
        </w:rPr>
      </w:pPr>
      <w:r>
        <w:rPr>
          <w:rFonts w:hint="eastAsia" w:ascii="宋体" w:hAnsi="宋体" w:eastAsia="宋体"/>
          <w:sz w:val="24"/>
          <w:szCs w:val="24"/>
        </w:rPr>
        <w:t>3.1脑卒中报告病例：2015年共报告脑卒中病例4062例，报告发病率为366.82/10万，</w:t>
      </w:r>
      <w:r>
        <w:rPr>
          <w:rFonts w:hint="eastAsia" w:ascii="宋体" w:hAnsi="宋体" w:eastAsia="宋体" w:cs="宋体"/>
          <w:sz w:val="24"/>
          <w:szCs w:val="24"/>
        </w:rPr>
        <w:t>其中脑出血729例，脑梗塞2838例；</w:t>
      </w:r>
      <w:r>
        <w:rPr>
          <w:rFonts w:hint="eastAsia" w:ascii="宋体" w:hAnsi="宋体" w:eastAsia="宋体"/>
          <w:sz w:val="24"/>
          <w:szCs w:val="24"/>
        </w:rPr>
        <w:t>2016年共报告脑卒中病例4287例，报告发病率为386.43/10万，</w:t>
      </w:r>
      <w:r>
        <w:rPr>
          <w:rFonts w:hint="eastAsia" w:ascii="宋体" w:hAnsi="宋体" w:eastAsia="宋体" w:cs="宋体"/>
          <w:sz w:val="24"/>
          <w:szCs w:val="24"/>
        </w:rPr>
        <w:t>其中脑出血838例，脑梗塞2955例；</w:t>
      </w:r>
      <w:r>
        <w:rPr>
          <w:rFonts w:hint="eastAsia" w:ascii="宋体" w:hAnsi="宋体" w:eastAsia="宋体"/>
          <w:sz w:val="24"/>
          <w:szCs w:val="24"/>
        </w:rPr>
        <w:t>2017年共报告脑卒中病例4427例，报告发病率为399.49/10万，</w:t>
      </w:r>
      <w:r>
        <w:rPr>
          <w:rFonts w:hint="eastAsia" w:ascii="宋体" w:hAnsi="宋体" w:eastAsia="宋体" w:cs="宋体"/>
          <w:sz w:val="24"/>
          <w:szCs w:val="24"/>
        </w:rPr>
        <w:t>其中脑出血750例，脑梗塞3168例；</w:t>
      </w:r>
      <w:r>
        <w:rPr>
          <w:rFonts w:hint="eastAsia" w:ascii="宋体" w:hAnsi="宋体" w:eastAsia="宋体"/>
          <w:sz w:val="24"/>
          <w:szCs w:val="24"/>
        </w:rPr>
        <w:t>2018年共报告脑卒中病例3956例，报告发病率为357.28/10万，</w:t>
      </w:r>
      <w:r>
        <w:rPr>
          <w:rFonts w:hint="eastAsia" w:ascii="宋体" w:hAnsi="宋体" w:eastAsia="宋体" w:cs="宋体"/>
          <w:sz w:val="24"/>
          <w:szCs w:val="24"/>
        </w:rPr>
        <w:t>其中脑出血647例，脑梗塞2803例；</w:t>
      </w:r>
      <w:r>
        <w:rPr>
          <w:rFonts w:hint="eastAsia" w:ascii="宋体" w:hAnsi="宋体" w:eastAsia="宋体"/>
          <w:sz w:val="24"/>
          <w:szCs w:val="24"/>
        </w:rPr>
        <w:t>2019年共报告脑卒中病例2209例，报告发病率为315.74/10万，</w:t>
      </w:r>
      <w:r>
        <w:rPr>
          <w:rFonts w:hint="eastAsia" w:ascii="宋体" w:hAnsi="宋体" w:eastAsia="宋体" w:cs="宋体"/>
          <w:sz w:val="24"/>
          <w:szCs w:val="24"/>
        </w:rPr>
        <w:t>其中脑出血513例，脑梗塞2972例；</w:t>
      </w:r>
    </w:p>
    <w:p>
      <w:pPr>
        <w:spacing w:after="0" w:line="360" w:lineRule="auto"/>
        <w:ind w:firstLine="480" w:firstLineChars="200"/>
        <w:rPr>
          <w:rFonts w:ascii="宋体" w:hAnsi="宋体" w:eastAsia="宋体"/>
          <w:sz w:val="24"/>
          <w:szCs w:val="24"/>
        </w:rPr>
      </w:pPr>
      <w:r>
        <w:rPr>
          <w:rFonts w:hint="eastAsia" w:ascii="宋体" w:hAnsi="宋体" w:eastAsia="宋体"/>
          <w:sz w:val="24"/>
          <w:szCs w:val="24"/>
        </w:rPr>
        <w:t>2015-2019 年我市脑卒中总发病率整体呈先上升后下降趋势，在2017年达到峰值。见图14.</w:t>
      </w:r>
    </w:p>
    <w:p>
      <w:pPr>
        <w:spacing w:line="360" w:lineRule="auto"/>
        <w:ind w:firstLine="480" w:firstLineChars="200"/>
        <w:rPr>
          <w:rFonts w:hAnsi="宋体"/>
          <w:sz w:val="24"/>
        </w:rPr>
      </w:pPr>
      <w:r>
        <w:rPr>
          <w:rFonts w:hAnsi="宋体"/>
          <w:sz w:val="24"/>
        </w:rPr>
        <w:drawing>
          <wp:inline distT="0" distB="0" distL="0" distR="0">
            <wp:extent cx="4572000" cy="2743200"/>
            <wp:effectExtent l="19050" t="0" r="0" b="0"/>
            <wp:docPr id="9"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spacing w:line="360" w:lineRule="auto"/>
        <w:ind w:firstLine="1320" w:firstLineChars="600"/>
        <w:rPr>
          <w:rFonts w:ascii="宋体" w:hAnsi="宋体" w:eastAsia="宋体" w:cs="宋体"/>
        </w:rPr>
      </w:pPr>
      <w:r>
        <w:rPr>
          <w:rFonts w:hint="eastAsia" w:ascii="宋体" w:hAnsi="宋体" w:eastAsia="宋体" w:cs="宋体"/>
        </w:rPr>
        <w:t>图14   2015-2019年瑞安市脑卒中发病率</w:t>
      </w:r>
      <w:r>
        <w:rPr>
          <w:rFonts w:hint="eastAsia" w:cs="宋体" w:asciiTheme="minorEastAsia" w:hAnsiTheme="minorEastAsia" w:eastAsiaTheme="minorEastAsia"/>
        </w:rPr>
        <w:t>（1/10万）</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3.2 </w:t>
      </w:r>
      <w:r>
        <w:rPr>
          <w:rFonts w:hint="eastAsia" w:ascii="宋体" w:hAnsi="宋体" w:eastAsia="宋体"/>
          <w:sz w:val="24"/>
          <w:szCs w:val="24"/>
        </w:rPr>
        <w:t>脑卒中</w:t>
      </w:r>
      <w:r>
        <w:rPr>
          <w:rFonts w:hint="eastAsia" w:ascii="宋体" w:hAnsi="宋体" w:eastAsia="宋体" w:cs="宋体"/>
          <w:sz w:val="24"/>
          <w:szCs w:val="24"/>
        </w:rPr>
        <w:t>性别年龄发病情况：我市2015-2019年</w:t>
      </w:r>
      <w:r>
        <w:rPr>
          <w:rFonts w:hint="eastAsia" w:ascii="宋体" w:hAnsi="宋体" w:eastAsia="宋体"/>
          <w:sz w:val="24"/>
          <w:szCs w:val="24"/>
        </w:rPr>
        <w:t>脑卒中</w:t>
      </w:r>
      <w:r>
        <w:rPr>
          <w:rFonts w:hint="eastAsia" w:ascii="宋体" w:hAnsi="宋体" w:eastAsia="宋体" w:cs="宋体"/>
          <w:sz w:val="24"/>
          <w:szCs w:val="24"/>
        </w:rPr>
        <w:t>发病情况中，以中、老年发病为主，发病率随着年龄的增长而上升，60~岁组以后人群的发病率随着年龄的增长而上升的速度较快。</w:t>
      </w:r>
      <w:r>
        <w:rPr>
          <w:rFonts w:hint="eastAsia" w:ascii="宋体" w:hAnsi="宋体" w:eastAsia="宋体"/>
          <w:sz w:val="24"/>
          <w:szCs w:val="24"/>
        </w:rPr>
        <w:t>见图15.</w:t>
      </w:r>
    </w:p>
    <w:p>
      <w:pPr>
        <w:spacing w:line="360" w:lineRule="auto"/>
      </w:pPr>
      <w:r>
        <w:drawing>
          <wp:inline distT="0" distB="0" distL="0" distR="0">
            <wp:extent cx="5274310" cy="2362200"/>
            <wp:effectExtent l="19050" t="0" r="21590" b="0"/>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spacing w:line="360" w:lineRule="auto"/>
        <w:ind w:firstLine="440" w:firstLineChars="200"/>
        <w:jc w:val="center"/>
        <w:rPr>
          <w:rFonts w:asciiTheme="minorEastAsia" w:hAnsiTheme="minorEastAsia" w:eastAsiaTheme="minorEastAsia"/>
          <w:sz w:val="24"/>
        </w:rPr>
      </w:pPr>
      <w:r>
        <w:rPr>
          <w:rFonts w:hint="eastAsia" w:cs="宋体" w:asciiTheme="minorEastAsia" w:hAnsiTheme="minorEastAsia" w:eastAsiaTheme="minorEastAsia"/>
        </w:rPr>
        <w:t>图15   2015-2019年瑞安市脑卒中分性别、分年龄平均发病率（1/10万）</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4、恶性肿瘤</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2015年共报告恶性肿瘤发病病例2944例，报告发病率为265.86/10万；2016年共报告发病病例3327例，报告发病率为299.89/10万；2017年共报告发病病例4427例，报告发病率为399.49/10万；2018年共报告发病病例3887例，报告发病率为351.04/10万。</w:t>
      </w:r>
    </w:p>
    <w:p>
      <w:pPr>
        <w:spacing w:after="0" w:line="360" w:lineRule="auto"/>
        <w:ind w:firstLine="480" w:firstLineChars="200"/>
        <w:rPr>
          <w:rFonts w:cs="宋体" w:asciiTheme="minorEastAsia" w:hAnsiTheme="minorEastAsia" w:eastAsiaTheme="minorEastAsia"/>
          <w:sz w:val="24"/>
          <w:szCs w:val="24"/>
        </w:rPr>
      </w:pPr>
      <w:r>
        <w:rPr>
          <w:rFonts w:hint="eastAsia" w:asciiTheme="minorEastAsia" w:hAnsiTheme="minorEastAsia" w:eastAsiaTheme="minorEastAsia"/>
          <w:sz w:val="24"/>
          <w:szCs w:val="24"/>
        </w:rPr>
        <w:t>2019年共报告恶性肿瘤病例3408人，其中男性1837人，女性1571人；全市恶性肿瘤报告发病率为271.38/10万，男性285.44/10万，女性256.61/10万。</w:t>
      </w:r>
      <w:r>
        <w:rPr>
          <w:rFonts w:hint="eastAsia" w:cs="宋体" w:asciiTheme="minorEastAsia" w:hAnsiTheme="minorEastAsia" w:eastAsiaTheme="minorEastAsia"/>
          <w:sz w:val="24"/>
          <w:szCs w:val="24"/>
        </w:rPr>
        <w:t>全市发病合计前5位的恶性肿瘤分别是：肺癌、甲状腺癌、肠癌、胃癌、肝癌，报告发病率依次是45.39/10万、32.01/10万、29.62/10万、24.29/10万、22.69/10万，占所有恶性肿瘤的56.75%。</w:t>
      </w:r>
      <w:r>
        <w:rPr>
          <w:rFonts w:hint="eastAsia" w:ascii="宋体" w:hAnsi="宋体" w:eastAsia="宋体"/>
          <w:sz w:val="24"/>
          <w:szCs w:val="24"/>
        </w:rPr>
        <w:t>见图16.</w:t>
      </w:r>
    </w:p>
    <w:p>
      <w:pPr>
        <w:spacing w:line="360" w:lineRule="auto"/>
        <w:ind w:firstLine="560" w:firstLineChars="200"/>
        <w:rPr>
          <w:rFonts w:ascii="宋体" w:cs="宋体"/>
          <w:sz w:val="28"/>
          <w:szCs w:val="28"/>
        </w:rPr>
      </w:pPr>
      <w:r>
        <w:rPr>
          <w:rFonts w:ascii="宋体" w:cs="宋体"/>
          <w:sz w:val="28"/>
          <w:szCs w:val="28"/>
        </w:rPr>
        <w:drawing>
          <wp:inline distT="0" distB="0" distL="0" distR="0">
            <wp:extent cx="5274310" cy="2601595"/>
            <wp:effectExtent l="19050" t="0" r="21590" b="8101"/>
            <wp:docPr id="39"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pPr>
        <w:spacing w:line="360" w:lineRule="auto"/>
        <w:ind w:firstLine="1320" w:firstLineChars="600"/>
        <w:jc w:val="center"/>
        <w:rPr>
          <w:rFonts w:ascii="宋体" w:hAnsi="宋体" w:eastAsia="宋体" w:cs="宋体"/>
        </w:rPr>
      </w:pPr>
      <w:r>
        <w:rPr>
          <w:rFonts w:hint="eastAsia" w:ascii="宋体" w:hAnsi="宋体" w:eastAsia="宋体" w:cs="宋体"/>
        </w:rPr>
        <w:t>图16   2015-2019年瑞安市主要恶性肿瘤发病率</w:t>
      </w:r>
      <w:r>
        <w:rPr>
          <w:rFonts w:hint="eastAsia" w:cs="宋体" w:asciiTheme="minorEastAsia" w:hAnsiTheme="minorEastAsia" w:eastAsiaTheme="minorEastAsia"/>
        </w:rPr>
        <w:t>（1/10万）</w:t>
      </w:r>
    </w:p>
    <w:p>
      <w:pPr>
        <w:spacing w:after="0"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各年龄组主要恶性肿瘤发病率大多随着年龄增大而增加，0～29岁组发病率较低，30～岁组以后明显增高，胃癌、肠癌发病率持续上升，肺癌、肝癌在80~岁组发病率反而下降。乳腺癌在50~岁组达到峰值。</w:t>
      </w:r>
      <w:r>
        <w:rPr>
          <w:rFonts w:hint="eastAsia" w:ascii="宋体" w:hAnsi="宋体" w:eastAsia="宋体"/>
          <w:sz w:val="24"/>
          <w:szCs w:val="24"/>
        </w:rPr>
        <w:t>见图17.</w:t>
      </w:r>
    </w:p>
    <w:p>
      <w:pPr>
        <w:spacing w:line="360" w:lineRule="auto"/>
        <w:ind w:firstLine="560" w:firstLineChars="200"/>
        <w:rPr>
          <w:rFonts w:ascii="宋体" w:cs="宋体"/>
          <w:sz w:val="28"/>
          <w:szCs w:val="28"/>
        </w:rPr>
      </w:pPr>
      <w:r>
        <w:rPr>
          <w:rFonts w:ascii="宋体" w:cs="宋体"/>
          <w:sz w:val="28"/>
          <w:szCs w:val="28"/>
        </w:rPr>
        <w:drawing>
          <wp:inline distT="0" distB="0" distL="0" distR="0">
            <wp:extent cx="5274310" cy="2788285"/>
            <wp:effectExtent l="19050" t="0" r="21590" b="0"/>
            <wp:docPr id="18"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spacing w:beforeLines="50" w:line="360" w:lineRule="auto"/>
        <w:jc w:val="center"/>
        <w:rPr>
          <w:rFonts w:cs="宋体" w:asciiTheme="minorEastAsia" w:hAnsiTheme="minorEastAsia" w:eastAsiaTheme="minorEastAsia"/>
        </w:rPr>
      </w:pPr>
      <w:r>
        <w:rPr>
          <w:rFonts w:hint="eastAsia" w:cs="宋体" w:asciiTheme="minorEastAsia" w:hAnsiTheme="minorEastAsia" w:eastAsiaTheme="minorEastAsia"/>
        </w:rPr>
        <w:t>图17   2019年瑞安市主要恶性肿瘤年龄别发病率（1/10万）</w:t>
      </w:r>
    </w:p>
    <w:p>
      <w:pPr>
        <w:spacing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由图18可见，随着年龄增加，我市2015至2019年恶性肿瘤发病率呈上升趋势，自30岁起上升尤为明显。男性和女性整体变化趋势与合计情况一致，其中男性随着年龄增加上升趋势更加明显。</w:t>
      </w:r>
      <w:r>
        <w:rPr>
          <w:rFonts w:hint="eastAsia" w:ascii="宋体" w:hAnsi="宋体" w:eastAsia="宋体"/>
          <w:sz w:val="24"/>
          <w:szCs w:val="24"/>
        </w:rPr>
        <w:t>见图18.</w:t>
      </w:r>
    </w:p>
    <w:p>
      <w:pPr>
        <w:spacing w:line="360" w:lineRule="auto"/>
        <w:ind w:firstLine="480" w:firstLineChars="200"/>
        <w:rPr>
          <w:rFonts w:hAnsi="宋体"/>
          <w:sz w:val="24"/>
        </w:rPr>
      </w:pPr>
      <w:r>
        <w:rPr>
          <w:rFonts w:hAnsi="宋体"/>
          <w:sz w:val="24"/>
        </w:rPr>
        <w:drawing>
          <wp:inline distT="0" distB="0" distL="0" distR="0">
            <wp:extent cx="4572000" cy="2743200"/>
            <wp:effectExtent l="19050" t="0" r="19050" b="0"/>
            <wp:docPr id="20"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spacing w:line="360" w:lineRule="auto"/>
        <w:ind w:firstLine="440" w:firstLineChars="200"/>
        <w:jc w:val="center"/>
        <w:rPr>
          <w:rFonts w:hAnsi="宋体"/>
          <w:sz w:val="24"/>
        </w:rPr>
      </w:pPr>
      <w:r>
        <w:rPr>
          <w:rFonts w:hint="eastAsia" w:ascii="宋体" w:hAnsi="宋体" w:eastAsia="宋体" w:cs="宋体"/>
        </w:rPr>
        <w:t xml:space="preserve">图18   </w:t>
      </w:r>
      <w:r>
        <w:rPr>
          <w:rFonts w:hint="eastAsia" w:ascii="仿宋_GB2312" w:hAnsi="宋体" w:eastAsia="仿宋_GB2312" w:cs="宋体"/>
        </w:rPr>
        <w:t>2015-2019</w:t>
      </w:r>
      <w:r>
        <w:rPr>
          <w:rFonts w:hint="eastAsia" w:ascii="宋体" w:hAnsi="宋体" w:eastAsia="宋体" w:cs="宋体"/>
        </w:rPr>
        <w:t>年瑞安市恶性肿瘤分性别、分年龄平均发病率</w:t>
      </w:r>
      <w:r>
        <w:rPr>
          <w:rFonts w:hint="eastAsia" w:cs="宋体" w:asciiTheme="minorEastAsia" w:hAnsiTheme="minorEastAsia" w:eastAsiaTheme="minorEastAsia"/>
        </w:rPr>
        <w:t>（1/10万）</w:t>
      </w:r>
    </w:p>
    <w:p>
      <w:pPr>
        <w:spacing w:line="360" w:lineRule="auto"/>
        <w:rPr>
          <w:rFonts w:hAnsi="宋体"/>
          <w:b/>
          <w:sz w:val="32"/>
          <w:szCs w:val="32"/>
        </w:rPr>
      </w:pPr>
      <w:r>
        <w:rPr>
          <w:rFonts w:hAnsi="宋体"/>
          <w:b/>
          <w:sz w:val="32"/>
          <w:szCs w:val="32"/>
        </w:rPr>
        <w:t>（三）主要慢性病患病情况</w:t>
      </w:r>
      <w:bookmarkEnd w:id="9"/>
    </w:p>
    <w:p>
      <w:pPr>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2019年瑞安市专项慢性病及其主要危险因素调查中，采用多阶段分层随机抽样的方法。在全市通过人口规模排序的系统抽样抽取4个街道/乡镇，然后分别在各调查街道/乡镇通过人口规模排序的系统抽样抽取2个村/居委会，最后分别在各调查村/居委会随机抽样抽取105户家庭，各调查家庭中所有18岁及以上的户籍人口均为调查对象。合计共调查约840户样本家庭，调查样本量约为1228。</w:t>
      </w:r>
    </w:p>
    <w:p>
      <w:pPr>
        <w:spacing w:after="0" w:line="360" w:lineRule="auto"/>
        <w:rPr>
          <w:rFonts w:ascii="宋体" w:hAnsi="宋体" w:eastAsia="宋体"/>
          <w:b/>
          <w:sz w:val="28"/>
          <w:szCs w:val="28"/>
        </w:rPr>
      </w:pPr>
      <w:r>
        <w:rPr>
          <w:rFonts w:hint="eastAsia" w:ascii="宋体" w:hAnsi="宋体" w:eastAsia="宋体"/>
          <w:b/>
          <w:sz w:val="28"/>
          <w:szCs w:val="28"/>
        </w:rPr>
        <w:t>1、样本性别、年龄构成</w:t>
      </w:r>
    </w:p>
    <w:p>
      <w:pPr>
        <w:spacing w:line="360" w:lineRule="auto"/>
        <w:ind w:firstLine="440" w:firstLineChars="200"/>
        <w:rPr>
          <w:rFonts w:ascii="宋体" w:hAnsi="宋体" w:eastAsia="宋体" w:cs="Times New Roman"/>
        </w:rPr>
      </w:pPr>
      <w:r>
        <w:rPr>
          <w:rFonts w:hint="eastAsia" w:ascii="宋体" w:hAnsi="宋体" w:eastAsia="宋体" w:cs="Times New Roman"/>
        </w:rPr>
        <w:t>本次调查覆盖</w:t>
      </w:r>
      <w:r>
        <w:rPr>
          <w:rFonts w:hint="eastAsia" w:ascii="宋体" w:hAnsi="宋体" w:eastAsia="宋体"/>
        </w:rPr>
        <w:t>4个街道</w:t>
      </w:r>
      <w:r>
        <w:rPr>
          <w:rFonts w:hint="eastAsia" w:ascii="宋体" w:hAnsi="宋体" w:eastAsia="宋体" w:cs="Times New Roman"/>
        </w:rPr>
        <w:t>。本次共调查</w:t>
      </w:r>
      <w:r>
        <w:rPr>
          <w:rFonts w:hint="eastAsia" w:ascii="宋体" w:hAnsi="宋体" w:eastAsia="宋体"/>
        </w:rPr>
        <w:t>1228</w:t>
      </w:r>
      <w:r>
        <w:rPr>
          <w:rFonts w:hint="eastAsia" w:ascii="宋体" w:hAnsi="宋体" w:eastAsia="宋体" w:cs="Times New Roman"/>
        </w:rPr>
        <w:t>人，其中男性</w:t>
      </w:r>
      <w:r>
        <w:rPr>
          <w:rFonts w:hint="eastAsia" w:ascii="宋体" w:hAnsi="宋体" w:eastAsia="宋体"/>
        </w:rPr>
        <w:t>555</w:t>
      </w:r>
      <w:r>
        <w:rPr>
          <w:rFonts w:hint="eastAsia" w:ascii="宋体" w:hAnsi="宋体" w:eastAsia="宋体" w:cs="Times New Roman"/>
        </w:rPr>
        <w:t>人，占</w:t>
      </w:r>
      <w:r>
        <w:rPr>
          <w:rFonts w:hint="eastAsia" w:ascii="宋体" w:hAnsi="宋体" w:eastAsia="宋体"/>
        </w:rPr>
        <w:t>43.09</w:t>
      </w:r>
      <w:r>
        <w:rPr>
          <w:rFonts w:hint="eastAsia" w:ascii="宋体" w:hAnsi="宋体" w:eastAsia="宋体" w:cs="Times New Roman"/>
        </w:rPr>
        <w:t>%。女性</w:t>
      </w:r>
      <w:r>
        <w:rPr>
          <w:rFonts w:hint="eastAsia" w:ascii="宋体" w:hAnsi="宋体" w:eastAsia="宋体"/>
        </w:rPr>
        <w:t>733</w:t>
      </w:r>
      <w:r>
        <w:rPr>
          <w:rFonts w:hint="eastAsia" w:ascii="宋体" w:hAnsi="宋体" w:eastAsia="宋体" w:cs="Times New Roman"/>
        </w:rPr>
        <w:t>人，占</w:t>
      </w:r>
      <w:r>
        <w:rPr>
          <w:rFonts w:hint="eastAsia" w:ascii="宋体" w:hAnsi="宋体" w:eastAsia="宋体"/>
        </w:rPr>
        <w:t>56.91</w:t>
      </w:r>
      <w:r>
        <w:rPr>
          <w:rFonts w:hint="eastAsia" w:ascii="宋体" w:hAnsi="宋体" w:eastAsia="宋体" w:cs="Times New Roman"/>
        </w:rPr>
        <w:t>%。性别比为1：1.</w:t>
      </w:r>
      <w:r>
        <w:rPr>
          <w:rFonts w:hint="eastAsia" w:ascii="宋体" w:hAnsi="宋体" w:eastAsia="宋体"/>
        </w:rPr>
        <w:t>32</w:t>
      </w:r>
      <w:r>
        <w:rPr>
          <w:rFonts w:hint="eastAsia" w:ascii="宋体" w:hAnsi="宋体" w:eastAsia="宋体" w:cs="Times New Roman"/>
        </w:rPr>
        <w:t>。18～岁组、30～岁组、40～岁组、50～岁组、60～岁组、70～岁和80～岁组的人数分别占</w:t>
      </w:r>
      <w:r>
        <w:rPr>
          <w:rFonts w:hint="eastAsia" w:ascii="宋体" w:hAnsi="宋体" w:eastAsia="宋体"/>
        </w:rPr>
        <w:t>3.57</w:t>
      </w:r>
      <w:r>
        <w:rPr>
          <w:rFonts w:hint="eastAsia" w:ascii="宋体" w:hAnsi="宋体" w:eastAsia="宋体" w:cs="Times New Roman"/>
        </w:rPr>
        <w:t>%、</w:t>
      </w:r>
      <w:r>
        <w:rPr>
          <w:rFonts w:hint="eastAsia" w:ascii="宋体" w:hAnsi="宋体" w:eastAsia="宋体"/>
        </w:rPr>
        <w:t>4.97</w:t>
      </w:r>
      <w:r>
        <w:rPr>
          <w:rFonts w:hint="eastAsia" w:ascii="宋体" w:hAnsi="宋体" w:eastAsia="宋体" w:cs="Times New Roman"/>
        </w:rPr>
        <w:t>%、</w:t>
      </w:r>
      <w:r>
        <w:rPr>
          <w:rFonts w:hint="eastAsia" w:ascii="宋体" w:hAnsi="宋体" w:eastAsia="宋体"/>
        </w:rPr>
        <w:t>16.23</w:t>
      </w:r>
      <w:r>
        <w:rPr>
          <w:rFonts w:hint="eastAsia" w:ascii="宋体" w:hAnsi="宋体" w:eastAsia="宋体" w:cs="Times New Roman"/>
        </w:rPr>
        <w:t>%、</w:t>
      </w:r>
      <w:r>
        <w:rPr>
          <w:rFonts w:hint="eastAsia" w:ascii="宋体" w:hAnsi="宋体" w:eastAsia="宋体"/>
        </w:rPr>
        <w:t>25.93</w:t>
      </w:r>
      <w:r>
        <w:rPr>
          <w:rFonts w:hint="eastAsia" w:ascii="宋体" w:hAnsi="宋体" w:eastAsia="宋体" w:cs="Times New Roman"/>
        </w:rPr>
        <w:t>%、</w:t>
      </w:r>
      <w:r>
        <w:rPr>
          <w:rFonts w:hint="eastAsia" w:ascii="宋体" w:hAnsi="宋体" w:eastAsia="宋体"/>
        </w:rPr>
        <w:t>26.48</w:t>
      </w:r>
      <w:r>
        <w:rPr>
          <w:rFonts w:hint="eastAsia" w:ascii="宋体" w:hAnsi="宋体" w:eastAsia="宋体" w:cs="Times New Roman"/>
        </w:rPr>
        <w:t>%、</w:t>
      </w:r>
      <w:r>
        <w:rPr>
          <w:rFonts w:hint="eastAsia" w:ascii="宋体" w:hAnsi="宋体" w:eastAsia="宋体"/>
        </w:rPr>
        <w:t>16.54</w:t>
      </w:r>
      <w:r>
        <w:rPr>
          <w:rFonts w:hint="eastAsia" w:ascii="宋体" w:hAnsi="宋体" w:eastAsia="宋体" w:cs="Times New Roman"/>
        </w:rPr>
        <w:t>%、</w:t>
      </w:r>
      <w:r>
        <w:rPr>
          <w:rFonts w:hint="eastAsia" w:ascii="宋体" w:hAnsi="宋体" w:eastAsia="宋体"/>
        </w:rPr>
        <w:t>6.29</w:t>
      </w:r>
      <w:r>
        <w:rPr>
          <w:rFonts w:hint="eastAsia" w:ascii="宋体" w:hAnsi="宋体" w:eastAsia="宋体" w:cs="Times New Roman"/>
        </w:rPr>
        <w:t>%，调查对象年龄以50～69岁为主，占5</w:t>
      </w:r>
      <w:r>
        <w:rPr>
          <w:rFonts w:hint="eastAsia" w:ascii="宋体" w:hAnsi="宋体" w:eastAsia="宋体"/>
        </w:rPr>
        <w:t>2.41</w:t>
      </w:r>
      <w:r>
        <w:rPr>
          <w:rFonts w:hint="eastAsia" w:ascii="宋体" w:hAnsi="宋体" w:eastAsia="宋体" w:cs="Times New Roman"/>
        </w:rPr>
        <w:t>%。见表4.</w:t>
      </w:r>
    </w:p>
    <w:p>
      <w:pPr>
        <w:pStyle w:val="4"/>
        <w:spacing w:line="360" w:lineRule="auto"/>
        <w:jc w:val="center"/>
        <w:rPr>
          <w:rFonts w:asciiTheme="minorEastAsia" w:hAnsiTheme="minorEastAsia" w:eastAsiaTheme="minorEastAsia"/>
          <w:sz w:val="22"/>
          <w:szCs w:val="22"/>
        </w:rPr>
      </w:pPr>
      <w:r>
        <w:rPr>
          <w:rFonts w:hint="eastAsia" w:asciiTheme="minorEastAsia" w:hAnsiTheme="minorEastAsia" w:eastAsiaTheme="minorEastAsia"/>
          <w:sz w:val="22"/>
          <w:szCs w:val="22"/>
        </w:rPr>
        <w:t xml:space="preserve">表4   </w:t>
      </w:r>
      <w:r>
        <w:rPr>
          <w:rFonts w:asciiTheme="minorEastAsia" w:hAnsiTheme="minorEastAsia" w:eastAsiaTheme="minorEastAsia"/>
          <w:sz w:val="22"/>
          <w:szCs w:val="22"/>
        </w:rPr>
        <w:t>调查对象的性别年龄构成</w:t>
      </w:r>
      <w:r>
        <w:rPr>
          <w:rFonts w:hint="eastAsia" w:asciiTheme="minorEastAsia" w:hAnsiTheme="minorEastAsia" w:eastAsiaTheme="minorEastAsia"/>
          <w:sz w:val="22"/>
          <w:szCs w:val="22"/>
        </w:rPr>
        <w:t>(%)</w:t>
      </w:r>
    </w:p>
    <w:tbl>
      <w:tblPr>
        <w:tblStyle w:val="11"/>
        <w:tblW w:w="8519" w:type="dxa"/>
        <w:tblInd w:w="0" w:type="dxa"/>
        <w:tblLayout w:type="fixed"/>
        <w:tblCellMar>
          <w:top w:w="0" w:type="dxa"/>
          <w:left w:w="108" w:type="dxa"/>
          <w:bottom w:w="0" w:type="dxa"/>
          <w:right w:w="108" w:type="dxa"/>
        </w:tblCellMar>
      </w:tblPr>
      <w:tblGrid>
        <w:gridCol w:w="1152"/>
        <w:gridCol w:w="1150"/>
        <w:gridCol w:w="1153"/>
        <w:gridCol w:w="236"/>
        <w:gridCol w:w="1102"/>
        <w:gridCol w:w="1107"/>
        <w:gridCol w:w="236"/>
        <w:gridCol w:w="1189"/>
        <w:gridCol w:w="1194"/>
      </w:tblGrid>
      <w:tr>
        <w:tblPrEx>
          <w:tblCellMar>
            <w:top w:w="0" w:type="dxa"/>
            <w:left w:w="108" w:type="dxa"/>
            <w:bottom w:w="0" w:type="dxa"/>
            <w:right w:w="108" w:type="dxa"/>
          </w:tblCellMar>
        </w:tblPrEx>
        <w:trPr>
          <w:trHeight w:val="90" w:hRule="atLeast"/>
        </w:trPr>
        <w:tc>
          <w:tcPr>
            <w:tcW w:w="1156" w:type="dxa"/>
            <w:vMerge w:val="restart"/>
            <w:tcBorders>
              <w:top w:val="single" w:color="auto" w:sz="8" w:space="0"/>
              <w:left w:val="nil"/>
              <w:bottom w:val="single" w:color="000000" w:sz="8" w:space="0"/>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年龄</w:t>
            </w:r>
          </w:p>
        </w:tc>
        <w:tc>
          <w:tcPr>
            <w:tcW w:w="2311" w:type="dxa"/>
            <w:gridSpan w:val="2"/>
            <w:tcBorders>
              <w:top w:val="single" w:color="auto" w:sz="8" w:space="0"/>
              <w:left w:val="nil"/>
              <w:bottom w:val="single" w:color="auto" w:sz="8" w:space="0"/>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男性</w:t>
            </w:r>
          </w:p>
        </w:tc>
        <w:tc>
          <w:tcPr>
            <w:tcW w:w="222" w:type="dxa"/>
            <w:tcBorders>
              <w:top w:val="single" w:color="auto" w:sz="8" w:space="0"/>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　</w:t>
            </w:r>
          </w:p>
        </w:tc>
        <w:tc>
          <w:tcPr>
            <w:tcW w:w="2217" w:type="dxa"/>
            <w:gridSpan w:val="2"/>
            <w:tcBorders>
              <w:top w:val="single" w:color="auto" w:sz="8" w:space="0"/>
              <w:left w:val="nil"/>
              <w:bottom w:val="single" w:color="auto" w:sz="8" w:space="0"/>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女性</w:t>
            </w:r>
          </w:p>
        </w:tc>
        <w:tc>
          <w:tcPr>
            <w:tcW w:w="222" w:type="dxa"/>
            <w:tcBorders>
              <w:top w:val="single" w:color="auto" w:sz="8" w:space="0"/>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　</w:t>
            </w:r>
          </w:p>
        </w:tc>
        <w:tc>
          <w:tcPr>
            <w:tcW w:w="2391" w:type="dxa"/>
            <w:gridSpan w:val="2"/>
            <w:tcBorders>
              <w:top w:val="single" w:color="auto" w:sz="8" w:space="0"/>
              <w:left w:val="nil"/>
              <w:bottom w:val="single" w:color="auto" w:sz="8" w:space="0"/>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90" w:hRule="atLeast"/>
        </w:trPr>
        <w:tc>
          <w:tcPr>
            <w:tcW w:w="1156" w:type="dxa"/>
            <w:vMerge w:val="continue"/>
            <w:tcBorders>
              <w:top w:val="single" w:color="auto" w:sz="8" w:space="0"/>
              <w:left w:val="nil"/>
              <w:bottom w:val="single" w:color="000000" w:sz="8" w:space="0"/>
              <w:right w:val="nil"/>
            </w:tcBorders>
            <w:vAlign w:val="center"/>
          </w:tcPr>
          <w:p>
            <w:pPr>
              <w:spacing w:line="360" w:lineRule="auto"/>
              <w:jc w:val="center"/>
              <w:rPr>
                <w:rFonts w:cs="Times New Roman" w:asciiTheme="minorEastAsia" w:hAnsiTheme="minorEastAsia" w:eastAsiaTheme="minorEastAsia"/>
                <w:color w:val="000000"/>
                <w:sz w:val="21"/>
                <w:szCs w:val="21"/>
              </w:rPr>
            </w:pPr>
          </w:p>
        </w:tc>
        <w:tc>
          <w:tcPr>
            <w:tcW w:w="1154"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例数</w:t>
            </w:r>
          </w:p>
        </w:tc>
        <w:tc>
          <w:tcPr>
            <w:tcW w:w="1157"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构成</w:t>
            </w:r>
            <w:r>
              <w:rPr>
                <w:rFonts w:hint="eastAsia" w:cs="Times New Roman" w:asciiTheme="minorEastAsia" w:hAnsiTheme="minorEastAsia" w:eastAsiaTheme="minorEastAsia"/>
                <w:sz w:val="21"/>
                <w:szCs w:val="21"/>
              </w:rPr>
              <w:t>比</w:t>
            </w:r>
          </w:p>
        </w:tc>
        <w:tc>
          <w:tcPr>
            <w:tcW w:w="222"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p>
        </w:tc>
        <w:tc>
          <w:tcPr>
            <w:tcW w:w="1106"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例数</w:t>
            </w:r>
          </w:p>
        </w:tc>
        <w:tc>
          <w:tcPr>
            <w:tcW w:w="1111"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构成</w:t>
            </w:r>
            <w:r>
              <w:rPr>
                <w:rFonts w:hint="eastAsia" w:cs="Times New Roman" w:asciiTheme="minorEastAsia" w:hAnsiTheme="minorEastAsia" w:eastAsiaTheme="minorEastAsia"/>
                <w:sz w:val="21"/>
                <w:szCs w:val="21"/>
              </w:rPr>
              <w:t>比</w:t>
            </w:r>
          </w:p>
        </w:tc>
        <w:tc>
          <w:tcPr>
            <w:tcW w:w="222"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p>
        </w:tc>
        <w:tc>
          <w:tcPr>
            <w:tcW w:w="1193"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例数</w:t>
            </w:r>
          </w:p>
        </w:tc>
        <w:tc>
          <w:tcPr>
            <w:tcW w:w="1198"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构成</w:t>
            </w:r>
            <w:r>
              <w:rPr>
                <w:rFonts w:hint="eastAsia" w:cs="Times New Roman" w:asciiTheme="minorEastAsia" w:hAnsiTheme="minorEastAsia" w:eastAsiaTheme="minorEastAsia"/>
                <w:sz w:val="21"/>
                <w:szCs w:val="21"/>
              </w:rPr>
              <w:t>比</w:t>
            </w:r>
          </w:p>
        </w:tc>
      </w:tr>
      <w:tr>
        <w:tblPrEx>
          <w:tblCellMar>
            <w:top w:w="0" w:type="dxa"/>
            <w:left w:w="108" w:type="dxa"/>
            <w:bottom w:w="0" w:type="dxa"/>
            <w:right w:w="108" w:type="dxa"/>
          </w:tblCellMar>
        </w:tblPrEx>
        <w:trPr>
          <w:trHeight w:val="90" w:hRule="atLeast"/>
        </w:trPr>
        <w:tc>
          <w:tcPr>
            <w:tcW w:w="1156" w:type="dxa"/>
            <w:tcBorders>
              <w:top w:val="nil"/>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18～</w:t>
            </w:r>
          </w:p>
        </w:tc>
        <w:tc>
          <w:tcPr>
            <w:tcW w:w="1154" w:type="dxa"/>
            <w:tcBorders>
              <w:top w:val="single" w:color="auto" w:sz="8" w:space="0"/>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22</w:t>
            </w:r>
          </w:p>
        </w:tc>
        <w:tc>
          <w:tcPr>
            <w:tcW w:w="1157" w:type="dxa"/>
            <w:tcBorders>
              <w:top w:val="single" w:color="auto" w:sz="8" w:space="0"/>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3.96 </w:t>
            </w:r>
          </w:p>
        </w:tc>
        <w:tc>
          <w:tcPr>
            <w:tcW w:w="222" w:type="dxa"/>
            <w:tcBorders>
              <w:top w:val="single" w:color="auto" w:sz="8" w:space="0"/>
              <w:left w:val="nil"/>
              <w:bottom w:val="nil"/>
              <w:right w:val="nil"/>
            </w:tcBorders>
            <w:vAlign w:val="center"/>
          </w:tcPr>
          <w:p>
            <w:pPr>
              <w:spacing w:line="360" w:lineRule="auto"/>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1106" w:type="dxa"/>
            <w:tcBorders>
              <w:top w:val="single" w:color="auto" w:sz="8" w:space="0"/>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24</w:t>
            </w:r>
          </w:p>
        </w:tc>
        <w:tc>
          <w:tcPr>
            <w:tcW w:w="1111" w:type="dxa"/>
            <w:tcBorders>
              <w:top w:val="single" w:color="auto" w:sz="8" w:space="0"/>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3.27 </w:t>
            </w:r>
          </w:p>
        </w:tc>
        <w:tc>
          <w:tcPr>
            <w:tcW w:w="222" w:type="dxa"/>
            <w:tcBorders>
              <w:top w:val="single" w:color="auto" w:sz="8" w:space="0"/>
              <w:left w:val="nil"/>
              <w:bottom w:val="nil"/>
              <w:right w:val="nil"/>
            </w:tcBorders>
            <w:vAlign w:val="center"/>
          </w:tcPr>
          <w:p>
            <w:pPr>
              <w:spacing w:line="360" w:lineRule="auto"/>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1193" w:type="dxa"/>
            <w:tcBorders>
              <w:top w:val="single" w:color="auto" w:sz="8" w:space="0"/>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46</w:t>
            </w:r>
          </w:p>
        </w:tc>
        <w:tc>
          <w:tcPr>
            <w:tcW w:w="1198" w:type="dxa"/>
            <w:tcBorders>
              <w:top w:val="single" w:color="auto" w:sz="8" w:space="0"/>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3.57 </w:t>
            </w:r>
          </w:p>
        </w:tc>
      </w:tr>
      <w:tr>
        <w:tblPrEx>
          <w:tblCellMar>
            <w:top w:w="0" w:type="dxa"/>
            <w:left w:w="108" w:type="dxa"/>
            <w:bottom w:w="0" w:type="dxa"/>
            <w:right w:w="108" w:type="dxa"/>
          </w:tblCellMar>
        </w:tblPrEx>
        <w:trPr>
          <w:trHeight w:val="90" w:hRule="atLeast"/>
        </w:trPr>
        <w:tc>
          <w:tcPr>
            <w:tcW w:w="1156" w:type="dxa"/>
            <w:tcBorders>
              <w:top w:val="nil"/>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30～</w:t>
            </w:r>
          </w:p>
        </w:tc>
        <w:tc>
          <w:tcPr>
            <w:tcW w:w="1154"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25</w:t>
            </w:r>
          </w:p>
        </w:tc>
        <w:tc>
          <w:tcPr>
            <w:tcW w:w="1157"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4.50 </w:t>
            </w:r>
          </w:p>
        </w:tc>
        <w:tc>
          <w:tcPr>
            <w:tcW w:w="222"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1106"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39</w:t>
            </w:r>
          </w:p>
        </w:tc>
        <w:tc>
          <w:tcPr>
            <w:tcW w:w="1111"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5.32 </w:t>
            </w:r>
          </w:p>
        </w:tc>
        <w:tc>
          <w:tcPr>
            <w:tcW w:w="222"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1193"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64</w:t>
            </w:r>
          </w:p>
        </w:tc>
        <w:tc>
          <w:tcPr>
            <w:tcW w:w="1198"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4.97 </w:t>
            </w:r>
          </w:p>
        </w:tc>
      </w:tr>
      <w:tr>
        <w:tblPrEx>
          <w:tblCellMar>
            <w:top w:w="0" w:type="dxa"/>
            <w:left w:w="108" w:type="dxa"/>
            <w:bottom w:w="0" w:type="dxa"/>
            <w:right w:w="108" w:type="dxa"/>
          </w:tblCellMar>
        </w:tblPrEx>
        <w:trPr>
          <w:trHeight w:val="90" w:hRule="atLeast"/>
        </w:trPr>
        <w:tc>
          <w:tcPr>
            <w:tcW w:w="1156" w:type="dxa"/>
            <w:tcBorders>
              <w:top w:val="nil"/>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40～</w:t>
            </w:r>
          </w:p>
        </w:tc>
        <w:tc>
          <w:tcPr>
            <w:tcW w:w="1154"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75</w:t>
            </w:r>
          </w:p>
        </w:tc>
        <w:tc>
          <w:tcPr>
            <w:tcW w:w="1157"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13.51 </w:t>
            </w:r>
          </w:p>
        </w:tc>
        <w:tc>
          <w:tcPr>
            <w:tcW w:w="222"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1106"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134</w:t>
            </w:r>
          </w:p>
        </w:tc>
        <w:tc>
          <w:tcPr>
            <w:tcW w:w="1111"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18.28 </w:t>
            </w:r>
          </w:p>
        </w:tc>
        <w:tc>
          <w:tcPr>
            <w:tcW w:w="222"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1193"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209</w:t>
            </w:r>
          </w:p>
        </w:tc>
        <w:tc>
          <w:tcPr>
            <w:tcW w:w="1198"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16.23 </w:t>
            </w:r>
          </w:p>
        </w:tc>
      </w:tr>
      <w:tr>
        <w:tblPrEx>
          <w:tblCellMar>
            <w:top w:w="0" w:type="dxa"/>
            <w:left w:w="108" w:type="dxa"/>
            <w:bottom w:w="0" w:type="dxa"/>
            <w:right w:w="108" w:type="dxa"/>
          </w:tblCellMar>
        </w:tblPrEx>
        <w:trPr>
          <w:trHeight w:val="90" w:hRule="atLeast"/>
        </w:trPr>
        <w:tc>
          <w:tcPr>
            <w:tcW w:w="1156" w:type="dxa"/>
            <w:tcBorders>
              <w:top w:val="nil"/>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50～</w:t>
            </w:r>
          </w:p>
        </w:tc>
        <w:tc>
          <w:tcPr>
            <w:tcW w:w="1154"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147</w:t>
            </w:r>
          </w:p>
        </w:tc>
        <w:tc>
          <w:tcPr>
            <w:tcW w:w="1157"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26.49 </w:t>
            </w:r>
          </w:p>
        </w:tc>
        <w:tc>
          <w:tcPr>
            <w:tcW w:w="222"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1106"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187</w:t>
            </w:r>
          </w:p>
        </w:tc>
        <w:tc>
          <w:tcPr>
            <w:tcW w:w="1111"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25.51 </w:t>
            </w:r>
          </w:p>
        </w:tc>
        <w:tc>
          <w:tcPr>
            <w:tcW w:w="222"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1193"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334</w:t>
            </w:r>
          </w:p>
        </w:tc>
        <w:tc>
          <w:tcPr>
            <w:tcW w:w="1198"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25.93 </w:t>
            </w:r>
          </w:p>
        </w:tc>
      </w:tr>
      <w:tr>
        <w:tblPrEx>
          <w:tblCellMar>
            <w:top w:w="0" w:type="dxa"/>
            <w:left w:w="108" w:type="dxa"/>
            <w:bottom w:w="0" w:type="dxa"/>
            <w:right w:w="108" w:type="dxa"/>
          </w:tblCellMar>
        </w:tblPrEx>
        <w:trPr>
          <w:trHeight w:val="90" w:hRule="atLeast"/>
        </w:trPr>
        <w:tc>
          <w:tcPr>
            <w:tcW w:w="1156" w:type="dxa"/>
            <w:tcBorders>
              <w:top w:val="nil"/>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60～</w:t>
            </w:r>
          </w:p>
        </w:tc>
        <w:tc>
          <w:tcPr>
            <w:tcW w:w="1154"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142</w:t>
            </w:r>
          </w:p>
        </w:tc>
        <w:tc>
          <w:tcPr>
            <w:tcW w:w="1157"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25.59 </w:t>
            </w:r>
          </w:p>
        </w:tc>
        <w:tc>
          <w:tcPr>
            <w:tcW w:w="222"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1106"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199</w:t>
            </w:r>
          </w:p>
        </w:tc>
        <w:tc>
          <w:tcPr>
            <w:tcW w:w="1111"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27.15 </w:t>
            </w:r>
          </w:p>
        </w:tc>
        <w:tc>
          <w:tcPr>
            <w:tcW w:w="222"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1193"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341</w:t>
            </w:r>
          </w:p>
        </w:tc>
        <w:tc>
          <w:tcPr>
            <w:tcW w:w="1198"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26.48 </w:t>
            </w:r>
          </w:p>
        </w:tc>
      </w:tr>
      <w:tr>
        <w:tblPrEx>
          <w:tblCellMar>
            <w:top w:w="0" w:type="dxa"/>
            <w:left w:w="108" w:type="dxa"/>
            <w:bottom w:w="0" w:type="dxa"/>
            <w:right w:w="108" w:type="dxa"/>
          </w:tblCellMar>
        </w:tblPrEx>
        <w:trPr>
          <w:trHeight w:val="90" w:hRule="atLeast"/>
        </w:trPr>
        <w:tc>
          <w:tcPr>
            <w:tcW w:w="1156" w:type="dxa"/>
            <w:tcBorders>
              <w:top w:val="nil"/>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70～</w:t>
            </w:r>
          </w:p>
        </w:tc>
        <w:tc>
          <w:tcPr>
            <w:tcW w:w="1154"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111</w:t>
            </w:r>
          </w:p>
        </w:tc>
        <w:tc>
          <w:tcPr>
            <w:tcW w:w="1157"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20.00 </w:t>
            </w:r>
          </w:p>
        </w:tc>
        <w:tc>
          <w:tcPr>
            <w:tcW w:w="222"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1106"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102</w:t>
            </w:r>
          </w:p>
        </w:tc>
        <w:tc>
          <w:tcPr>
            <w:tcW w:w="1111"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13.92 </w:t>
            </w:r>
          </w:p>
        </w:tc>
        <w:tc>
          <w:tcPr>
            <w:tcW w:w="222"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1193"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213</w:t>
            </w:r>
          </w:p>
        </w:tc>
        <w:tc>
          <w:tcPr>
            <w:tcW w:w="1198" w:type="dxa"/>
            <w:tcBorders>
              <w:top w:val="nil"/>
              <w:left w:val="nil"/>
              <w:bottom w:val="nil"/>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16.54 </w:t>
            </w:r>
          </w:p>
        </w:tc>
      </w:tr>
      <w:tr>
        <w:tblPrEx>
          <w:tblCellMar>
            <w:top w:w="0" w:type="dxa"/>
            <w:left w:w="108" w:type="dxa"/>
            <w:bottom w:w="0" w:type="dxa"/>
            <w:right w:w="108" w:type="dxa"/>
          </w:tblCellMar>
        </w:tblPrEx>
        <w:trPr>
          <w:trHeight w:val="90" w:hRule="atLeast"/>
        </w:trPr>
        <w:tc>
          <w:tcPr>
            <w:tcW w:w="1156" w:type="dxa"/>
            <w:tcBorders>
              <w:top w:val="nil"/>
              <w:left w:val="nil"/>
              <w:bottom w:val="single" w:color="auto" w:sz="8" w:space="0"/>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80～</w:t>
            </w:r>
          </w:p>
        </w:tc>
        <w:tc>
          <w:tcPr>
            <w:tcW w:w="1154" w:type="dxa"/>
            <w:tcBorders>
              <w:top w:val="nil"/>
              <w:left w:val="nil"/>
              <w:bottom w:val="single" w:color="auto" w:sz="8" w:space="0"/>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33</w:t>
            </w:r>
          </w:p>
        </w:tc>
        <w:tc>
          <w:tcPr>
            <w:tcW w:w="1157" w:type="dxa"/>
            <w:tcBorders>
              <w:top w:val="nil"/>
              <w:left w:val="nil"/>
              <w:bottom w:val="single" w:color="auto" w:sz="8" w:space="0"/>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5.95 </w:t>
            </w:r>
          </w:p>
        </w:tc>
        <w:tc>
          <w:tcPr>
            <w:tcW w:w="222" w:type="dxa"/>
            <w:tcBorders>
              <w:top w:val="nil"/>
              <w:left w:val="nil"/>
              <w:bottom w:val="single" w:color="auto" w:sz="8" w:space="0"/>
              <w:right w:val="nil"/>
            </w:tcBorders>
            <w:vAlign w:val="center"/>
          </w:tcPr>
          <w:p>
            <w:pPr>
              <w:spacing w:line="360" w:lineRule="auto"/>
              <w:rPr>
                <w:rFonts w:cs="宋体" w:asciiTheme="minorEastAsia" w:hAnsiTheme="minorEastAsia" w:eastAsiaTheme="minorEastAsia"/>
                <w:color w:val="000000"/>
                <w:sz w:val="21"/>
                <w:szCs w:val="21"/>
              </w:rPr>
            </w:pPr>
          </w:p>
        </w:tc>
        <w:tc>
          <w:tcPr>
            <w:tcW w:w="1106" w:type="dxa"/>
            <w:tcBorders>
              <w:top w:val="nil"/>
              <w:left w:val="nil"/>
              <w:bottom w:val="single" w:color="auto" w:sz="8" w:space="0"/>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48</w:t>
            </w:r>
          </w:p>
        </w:tc>
        <w:tc>
          <w:tcPr>
            <w:tcW w:w="1111" w:type="dxa"/>
            <w:tcBorders>
              <w:top w:val="nil"/>
              <w:left w:val="nil"/>
              <w:bottom w:val="single" w:color="auto" w:sz="8" w:space="0"/>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6.55 </w:t>
            </w:r>
          </w:p>
        </w:tc>
        <w:tc>
          <w:tcPr>
            <w:tcW w:w="222" w:type="dxa"/>
            <w:tcBorders>
              <w:top w:val="nil"/>
              <w:left w:val="nil"/>
              <w:bottom w:val="single" w:color="auto" w:sz="8" w:space="0"/>
              <w:right w:val="nil"/>
            </w:tcBorders>
            <w:vAlign w:val="center"/>
          </w:tcPr>
          <w:p>
            <w:pPr>
              <w:spacing w:line="360" w:lineRule="auto"/>
              <w:rPr>
                <w:rFonts w:cs="宋体" w:asciiTheme="minorEastAsia" w:hAnsiTheme="minorEastAsia" w:eastAsiaTheme="minorEastAsia"/>
                <w:color w:val="000000"/>
                <w:sz w:val="21"/>
                <w:szCs w:val="21"/>
              </w:rPr>
            </w:pPr>
          </w:p>
        </w:tc>
        <w:tc>
          <w:tcPr>
            <w:tcW w:w="1193" w:type="dxa"/>
            <w:tcBorders>
              <w:top w:val="nil"/>
              <w:left w:val="nil"/>
              <w:bottom w:val="single" w:color="auto" w:sz="8" w:space="0"/>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81</w:t>
            </w:r>
          </w:p>
        </w:tc>
        <w:tc>
          <w:tcPr>
            <w:tcW w:w="1198" w:type="dxa"/>
            <w:tcBorders>
              <w:top w:val="nil"/>
              <w:left w:val="nil"/>
              <w:bottom w:val="single" w:color="auto" w:sz="8" w:space="0"/>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6.29 </w:t>
            </w:r>
          </w:p>
        </w:tc>
      </w:tr>
      <w:tr>
        <w:tblPrEx>
          <w:tblCellMar>
            <w:top w:w="0" w:type="dxa"/>
            <w:left w:w="108" w:type="dxa"/>
            <w:bottom w:w="0" w:type="dxa"/>
            <w:right w:w="108" w:type="dxa"/>
          </w:tblCellMar>
        </w:tblPrEx>
        <w:trPr>
          <w:trHeight w:val="90" w:hRule="atLeast"/>
        </w:trPr>
        <w:tc>
          <w:tcPr>
            <w:tcW w:w="1156" w:type="dxa"/>
            <w:tcBorders>
              <w:top w:val="nil"/>
              <w:left w:val="nil"/>
              <w:bottom w:val="single" w:color="auto" w:sz="8" w:space="0"/>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合计</w:t>
            </w:r>
          </w:p>
        </w:tc>
        <w:tc>
          <w:tcPr>
            <w:tcW w:w="1154" w:type="dxa"/>
            <w:tcBorders>
              <w:top w:val="nil"/>
              <w:left w:val="nil"/>
              <w:bottom w:val="single" w:color="auto" w:sz="8" w:space="0"/>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555</w:t>
            </w:r>
          </w:p>
        </w:tc>
        <w:tc>
          <w:tcPr>
            <w:tcW w:w="1157" w:type="dxa"/>
            <w:tcBorders>
              <w:top w:val="nil"/>
              <w:left w:val="nil"/>
              <w:bottom w:val="single" w:color="auto" w:sz="8" w:space="0"/>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100.00 </w:t>
            </w:r>
          </w:p>
        </w:tc>
        <w:tc>
          <w:tcPr>
            <w:tcW w:w="222" w:type="dxa"/>
            <w:tcBorders>
              <w:top w:val="nil"/>
              <w:left w:val="nil"/>
              <w:bottom w:val="single" w:color="auto" w:sz="8" w:space="0"/>
              <w:right w:val="nil"/>
            </w:tcBorders>
            <w:vAlign w:val="center"/>
          </w:tcPr>
          <w:p>
            <w:pPr>
              <w:spacing w:line="360" w:lineRule="auto"/>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1106" w:type="dxa"/>
            <w:tcBorders>
              <w:top w:val="nil"/>
              <w:left w:val="nil"/>
              <w:bottom w:val="single" w:color="auto" w:sz="8" w:space="0"/>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733</w:t>
            </w:r>
          </w:p>
        </w:tc>
        <w:tc>
          <w:tcPr>
            <w:tcW w:w="1111" w:type="dxa"/>
            <w:tcBorders>
              <w:top w:val="nil"/>
              <w:left w:val="nil"/>
              <w:bottom w:val="single" w:color="auto" w:sz="8" w:space="0"/>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100.00 </w:t>
            </w:r>
          </w:p>
        </w:tc>
        <w:tc>
          <w:tcPr>
            <w:tcW w:w="222" w:type="dxa"/>
            <w:tcBorders>
              <w:top w:val="nil"/>
              <w:left w:val="nil"/>
              <w:bottom w:val="single" w:color="auto" w:sz="8" w:space="0"/>
              <w:right w:val="nil"/>
            </w:tcBorders>
            <w:vAlign w:val="center"/>
          </w:tcPr>
          <w:p>
            <w:pPr>
              <w:spacing w:line="360" w:lineRule="auto"/>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1193" w:type="dxa"/>
            <w:tcBorders>
              <w:top w:val="nil"/>
              <w:left w:val="nil"/>
              <w:bottom w:val="single" w:color="auto" w:sz="8" w:space="0"/>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1288</w:t>
            </w:r>
          </w:p>
        </w:tc>
        <w:tc>
          <w:tcPr>
            <w:tcW w:w="1198" w:type="dxa"/>
            <w:tcBorders>
              <w:top w:val="nil"/>
              <w:left w:val="nil"/>
              <w:bottom w:val="single" w:color="auto" w:sz="8" w:space="0"/>
              <w:right w:val="nil"/>
            </w:tcBorders>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100.00 </w:t>
            </w:r>
          </w:p>
        </w:tc>
      </w:tr>
    </w:tbl>
    <w:p>
      <w:pPr>
        <w:spacing w:line="360" w:lineRule="auto"/>
        <w:rPr>
          <w:rFonts w:asciiTheme="minorEastAsia" w:hAnsiTheme="minorEastAsia" w:eastAsiaTheme="minorEastAsia"/>
          <w:b/>
          <w:sz w:val="28"/>
          <w:szCs w:val="28"/>
        </w:rPr>
      </w:pPr>
    </w:p>
    <w:p>
      <w:pPr>
        <w:spacing w:line="360" w:lineRule="auto"/>
        <w:rPr>
          <w:rFonts w:asciiTheme="minorEastAsia" w:hAnsiTheme="minorEastAsia" w:eastAsiaTheme="minorEastAsia"/>
          <w:b/>
          <w:sz w:val="28"/>
          <w:szCs w:val="28"/>
        </w:rPr>
      </w:pPr>
      <w:r>
        <w:rPr>
          <w:rFonts w:hint="eastAsia" w:asciiTheme="minorEastAsia" w:hAnsiTheme="minorEastAsia" w:eastAsiaTheme="minorEastAsia"/>
          <w:b/>
          <w:sz w:val="28"/>
          <w:szCs w:val="28"/>
        </w:rPr>
        <w:t>2 、文化程度、职业及婚期状况构成</w:t>
      </w:r>
    </w:p>
    <w:p>
      <w:pPr>
        <w:spacing w:beforeLines="50" w:afterLines="50" w:line="360" w:lineRule="auto"/>
        <w:ind w:firstLine="480" w:firstLineChars="200"/>
        <w:rPr>
          <w:rFonts w:cs="Times New Roman" w:asciiTheme="minorEastAsia" w:hAnsiTheme="minorEastAsia" w:eastAsiaTheme="minorEastAsia"/>
        </w:rPr>
      </w:pPr>
      <w:r>
        <w:rPr>
          <w:rFonts w:hint="eastAsia" w:asciiTheme="minorEastAsia" w:hAnsiTheme="minorEastAsia" w:eastAsiaTheme="minorEastAsia"/>
          <w:sz w:val="24"/>
          <w:szCs w:val="24"/>
        </w:rPr>
        <w:t>在调查的人群中，</w:t>
      </w:r>
      <w:bookmarkStart w:id="10" w:name="_Toc477619946"/>
      <w:r>
        <w:rPr>
          <w:rFonts w:hint="eastAsia" w:cs="Times New Roman" w:asciiTheme="minorEastAsia" w:hAnsiTheme="minorEastAsia" w:eastAsiaTheme="minorEastAsia"/>
        </w:rPr>
        <w:t>文化程度：以文盲、半文盲为主，占39.29%，其次是小学，占25.39%，第三位是初中，占19.02%。</w:t>
      </w:r>
      <w:bookmarkEnd w:id="10"/>
      <w:r>
        <w:rPr>
          <w:rFonts w:hint="eastAsia" w:asciiTheme="minorEastAsia" w:hAnsiTheme="minorEastAsia" w:eastAsiaTheme="minorEastAsia"/>
          <w:sz w:val="24"/>
          <w:szCs w:val="24"/>
        </w:rPr>
        <w:t>职业分布：</w:t>
      </w:r>
      <w:bookmarkStart w:id="11" w:name="_Toc477619944"/>
      <w:r>
        <w:rPr>
          <w:rFonts w:hint="eastAsia" w:cs="Times New Roman" w:asciiTheme="minorEastAsia" w:hAnsiTheme="minorEastAsia" w:eastAsiaTheme="minorEastAsia"/>
        </w:rPr>
        <w:t>以家务为主，占28.18%，其次是工人，占13.66%，第三为农业劳动者占13.35%。</w:t>
      </w:r>
      <w:bookmarkEnd w:id="11"/>
      <w:r>
        <w:rPr>
          <w:rFonts w:hint="eastAsia" w:asciiTheme="minorEastAsia" w:hAnsiTheme="minorEastAsia" w:eastAsiaTheme="minorEastAsia"/>
          <w:sz w:val="24"/>
          <w:szCs w:val="24"/>
        </w:rPr>
        <w:t>婚姻状况：</w:t>
      </w:r>
      <w:r>
        <w:rPr>
          <w:rFonts w:hint="eastAsia" w:cs="Times New Roman" w:asciiTheme="minorEastAsia" w:hAnsiTheme="minorEastAsia" w:eastAsiaTheme="minorEastAsia"/>
        </w:rPr>
        <w:t>84.94%的调查对象有配偶，10.09%丧偶，3.49%未婚，1.16%离异。见表5.</w:t>
      </w:r>
    </w:p>
    <w:p>
      <w:pPr>
        <w:pStyle w:val="4"/>
        <w:spacing w:line="360" w:lineRule="auto"/>
        <w:jc w:val="center"/>
        <w:rPr>
          <w:rFonts w:asciiTheme="minorEastAsia" w:hAnsiTheme="minorEastAsia" w:eastAsiaTheme="minorEastAsia"/>
          <w:sz w:val="22"/>
          <w:szCs w:val="22"/>
        </w:rPr>
      </w:pPr>
      <w:r>
        <w:rPr>
          <w:rFonts w:asciiTheme="minorEastAsia" w:hAnsiTheme="minorEastAsia" w:eastAsiaTheme="minorEastAsia"/>
          <w:sz w:val="22"/>
          <w:szCs w:val="22"/>
        </w:rPr>
        <w:t>表</w:t>
      </w:r>
      <w:r>
        <w:rPr>
          <w:rFonts w:hint="eastAsia" w:asciiTheme="minorEastAsia" w:hAnsiTheme="minorEastAsia" w:eastAsiaTheme="minorEastAsia"/>
          <w:sz w:val="22"/>
          <w:szCs w:val="22"/>
        </w:rPr>
        <w:t xml:space="preserve">5   </w:t>
      </w:r>
      <w:r>
        <w:rPr>
          <w:rFonts w:asciiTheme="minorEastAsia" w:hAnsiTheme="minorEastAsia" w:eastAsiaTheme="minorEastAsia"/>
          <w:sz w:val="22"/>
          <w:szCs w:val="22"/>
        </w:rPr>
        <w:t>调查对象</w:t>
      </w:r>
      <w:r>
        <w:rPr>
          <w:rFonts w:hint="eastAsia" w:asciiTheme="minorEastAsia" w:hAnsiTheme="minorEastAsia" w:eastAsiaTheme="minorEastAsia"/>
          <w:sz w:val="22"/>
          <w:szCs w:val="22"/>
        </w:rPr>
        <w:t>一般</w:t>
      </w:r>
      <w:r>
        <w:rPr>
          <w:rFonts w:asciiTheme="minorEastAsia" w:hAnsiTheme="minorEastAsia" w:eastAsiaTheme="minorEastAsia"/>
          <w:sz w:val="22"/>
          <w:szCs w:val="22"/>
        </w:rPr>
        <w:t>社会经济状况性别构成</w:t>
      </w:r>
      <w:r>
        <w:rPr>
          <w:rFonts w:hint="eastAsia" w:asciiTheme="minorEastAsia" w:hAnsiTheme="minorEastAsia" w:eastAsiaTheme="minorEastAsia"/>
          <w:sz w:val="22"/>
          <w:szCs w:val="22"/>
        </w:rPr>
        <w:t>(%)</w:t>
      </w:r>
    </w:p>
    <w:tbl>
      <w:tblPr>
        <w:tblStyle w:val="11"/>
        <w:tblW w:w="7860" w:type="dxa"/>
        <w:tblInd w:w="94" w:type="dxa"/>
        <w:tblLayout w:type="fixed"/>
        <w:tblCellMar>
          <w:top w:w="0" w:type="dxa"/>
          <w:left w:w="108" w:type="dxa"/>
          <w:bottom w:w="0" w:type="dxa"/>
          <w:right w:w="108" w:type="dxa"/>
        </w:tblCellMar>
      </w:tblPr>
      <w:tblGrid>
        <w:gridCol w:w="1380"/>
        <w:gridCol w:w="1080"/>
        <w:gridCol w:w="1080"/>
        <w:gridCol w:w="1080"/>
        <w:gridCol w:w="1080"/>
        <w:gridCol w:w="1080"/>
        <w:gridCol w:w="1080"/>
      </w:tblGrid>
      <w:tr>
        <w:tblPrEx>
          <w:tblCellMar>
            <w:top w:w="0" w:type="dxa"/>
            <w:left w:w="108" w:type="dxa"/>
            <w:bottom w:w="0" w:type="dxa"/>
            <w:right w:w="108" w:type="dxa"/>
          </w:tblCellMar>
        </w:tblPrEx>
        <w:trPr>
          <w:trHeight w:val="285" w:hRule="atLeast"/>
        </w:trPr>
        <w:tc>
          <w:tcPr>
            <w:tcW w:w="1380" w:type="dxa"/>
            <w:vMerge w:val="restart"/>
            <w:tcBorders>
              <w:top w:val="single" w:color="auto" w:sz="4" w:space="0"/>
              <w:left w:val="nil"/>
              <w:bottom w:val="single" w:color="000000" w:sz="4" w:space="0"/>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社会经济情况</w:t>
            </w:r>
          </w:p>
        </w:tc>
        <w:tc>
          <w:tcPr>
            <w:tcW w:w="2160" w:type="dxa"/>
            <w:gridSpan w:val="2"/>
            <w:tcBorders>
              <w:top w:val="single" w:color="auto" w:sz="4" w:space="0"/>
              <w:left w:val="nil"/>
              <w:bottom w:val="nil"/>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男性</w:t>
            </w:r>
          </w:p>
        </w:tc>
        <w:tc>
          <w:tcPr>
            <w:tcW w:w="2160" w:type="dxa"/>
            <w:gridSpan w:val="2"/>
            <w:tcBorders>
              <w:top w:val="single" w:color="auto" w:sz="4" w:space="0"/>
              <w:left w:val="nil"/>
              <w:bottom w:val="nil"/>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女性</w:t>
            </w:r>
          </w:p>
        </w:tc>
        <w:tc>
          <w:tcPr>
            <w:tcW w:w="2160" w:type="dxa"/>
            <w:gridSpan w:val="2"/>
            <w:tcBorders>
              <w:top w:val="single" w:color="auto" w:sz="4" w:space="0"/>
              <w:left w:val="nil"/>
              <w:bottom w:val="nil"/>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285" w:hRule="atLeast"/>
        </w:trPr>
        <w:tc>
          <w:tcPr>
            <w:tcW w:w="1380" w:type="dxa"/>
            <w:vMerge w:val="continue"/>
            <w:tcBorders>
              <w:top w:val="single" w:color="auto" w:sz="4" w:space="0"/>
              <w:left w:val="nil"/>
              <w:bottom w:val="single" w:color="000000" w:sz="4" w:space="0"/>
              <w:right w:val="nil"/>
            </w:tcBorders>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例数</w:t>
            </w:r>
          </w:p>
        </w:tc>
        <w:tc>
          <w:tcPr>
            <w:tcW w:w="1080"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构成%</w:t>
            </w:r>
          </w:p>
        </w:tc>
        <w:tc>
          <w:tcPr>
            <w:tcW w:w="1080"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例数</w:t>
            </w:r>
          </w:p>
        </w:tc>
        <w:tc>
          <w:tcPr>
            <w:tcW w:w="1080"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构成%</w:t>
            </w:r>
          </w:p>
        </w:tc>
        <w:tc>
          <w:tcPr>
            <w:tcW w:w="1080"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例数</w:t>
            </w:r>
          </w:p>
        </w:tc>
        <w:tc>
          <w:tcPr>
            <w:tcW w:w="1080" w:type="dxa"/>
            <w:tcBorders>
              <w:top w:val="nil"/>
              <w:left w:val="nil"/>
              <w:bottom w:val="single" w:color="auto" w:sz="4" w:space="0"/>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r>
              <w:rPr>
                <w:rFonts w:hint="eastAsia" w:cs="Tahoma" w:asciiTheme="minorEastAsia" w:hAnsiTheme="minorEastAsia" w:eastAsiaTheme="minorEastAsia"/>
                <w:color w:val="000000"/>
                <w:sz w:val="21"/>
                <w:szCs w:val="21"/>
              </w:rPr>
              <w:t>构成%</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auto" w:fill="auto"/>
            <w:vAlign w:val="center"/>
          </w:tcPr>
          <w:p>
            <w:pPr>
              <w:adjustRightInd/>
              <w:snapToGrid/>
              <w:spacing w:after="0" w:line="360" w:lineRule="auto"/>
              <w:rPr>
                <w:rFonts w:cs="Tahoma" w:asciiTheme="minorEastAsia" w:hAnsiTheme="minorEastAsia" w:eastAsiaTheme="minorEastAsia"/>
                <w:b/>
                <w:color w:val="000000"/>
                <w:sz w:val="21"/>
                <w:szCs w:val="21"/>
              </w:rPr>
            </w:pPr>
            <w:r>
              <w:rPr>
                <w:rFonts w:hint="eastAsia" w:cs="Tahoma" w:asciiTheme="minorEastAsia" w:hAnsiTheme="minorEastAsia" w:eastAsiaTheme="minorEastAsia"/>
                <w:b/>
                <w:color w:val="000000"/>
                <w:sz w:val="21"/>
                <w:szCs w:val="21"/>
              </w:rPr>
              <w:t>职业</w:t>
            </w:r>
          </w:p>
        </w:tc>
        <w:tc>
          <w:tcPr>
            <w:tcW w:w="1080" w:type="dxa"/>
            <w:tcBorders>
              <w:top w:val="nil"/>
              <w:left w:val="nil"/>
              <w:bottom w:val="nil"/>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vAlign w:val="center"/>
          </w:tcPr>
          <w:p>
            <w:pPr>
              <w:adjustRightInd/>
              <w:snapToGrid/>
              <w:spacing w:after="0" w:line="360" w:lineRule="auto"/>
              <w:jc w:val="center"/>
              <w:rPr>
                <w:rFonts w:cs="Tahoma"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工人</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98</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17.66</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78</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10.64</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176</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13.66</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农业劳动者</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105</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18.92</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67</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9.14</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172</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13.35</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干部职员</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19</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3.42</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1.50</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30</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2.33</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专业技术人员</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35</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6.31</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2.86</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56</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4.35</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服务行业</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43</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7.75</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43</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5.87</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86</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6.68</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离退人员</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64</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11.53</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96</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13.10</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160</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12.42</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家务</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51</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9.19</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312</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42.56</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363</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28.18</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下岗待业人员</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35</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6.31</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1.91</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49</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3.80</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其他</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105</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18.92</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91</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12.41</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196</w:t>
            </w:r>
          </w:p>
        </w:tc>
        <w:tc>
          <w:tcPr>
            <w:tcW w:w="1080" w:type="dxa"/>
            <w:tcBorders>
              <w:top w:val="nil"/>
              <w:left w:val="nil"/>
              <w:bottom w:val="nil"/>
              <w:right w:val="nil"/>
            </w:tcBorders>
            <w:shd w:val="clear" w:color="auto" w:fill="auto"/>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15.22</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auto" w:fill="auto"/>
            <w:noWrap/>
            <w:vAlign w:val="center"/>
          </w:tcPr>
          <w:p>
            <w:pPr>
              <w:adjustRightInd/>
              <w:snapToGrid/>
              <w:spacing w:after="0" w:line="360" w:lineRule="auto"/>
              <w:rPr>
                <w:rFonts w:cs="Tahoma" w:asciiTheme="minorEastAsia" w:hAnsiTheme="minorEastAsia" w:eastAsiaTheme="minorEastAsia"/>
                <w:b/>
                <w:color w:val="000000"/>
                <w:sz w:val="21"/>
                <w:szCs w:val="21"/>
              </w:rPr>
            </w:pPr>
            <w:r>
              <w:rPr>
                <w:rFonts w:hint="eastAsia" w:cs="Tahoma" w:asciiTheme="minorEastAsia" w:hAnsiTheme="minorEastAsia" w:eastAsiaTheme="minorEastAsia"/>
                <w:b/>
                <w:color w:val="000000"/>
                <w:sz w:val="21"/>
                <w:szCs w:val="21"/>
              </w:rPr>
              <w:t>文化程度</w:t>
            </w: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文盲、半文盲</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163</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29.37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343</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46.79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506</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39.29 </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小学</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159</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28.65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168</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22.92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327</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25.39 </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初中</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125</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22.52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120</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16.37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245</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19.02 </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高中、中专</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55</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9.91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53</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7.23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108</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8.39 </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大专及以上</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52</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9.37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43</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5.87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95</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7.38 </w:t>
            </w:r>
          </w:p>
        </w:tc>
      </w:tr>
      <w:tr>
        <w:tblPrEx>
          <w:tblCellMar>
            <w:top w:w="0" w:type="dxa"/>
            <w:left w:w="108" w:type="dxa"/>
            <w:bottom w:w="0" w:type="dxa"/>
            <w:right w:w="108" w:type="dxa"/>
          </w:tblCellMar>
        </w:tblPrEx>
        <w:trPr>
          <w:trHeight w:val="300"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不详</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0.18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0.82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0.54 </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auto" w:fill="auto"/>
            <w:noWrap/>
            <w:vAlign w:val="center"/>
          </w:tcPr>
          <w:p>
            <w:pPr>
              <w:adjustRightInd/>
              <w:snapToGrid/>
              <w:spacing w:after="0" w:line="360" w:lineRule="auto"/>
              <w:rPr>
                <w:rFonts w:cs="Tahoma" w:asciiTheme="minorEastAsia" w:hAnsiTheme="minorEastAsia" w:eastAsiaTheme="minorEastAsia"/>
                <w:b/>
                <w:color w:val="000000"/>
                <w:sz w:val="21"/>
                <w:szCs w:val="21"/>
              </w:rPr>
            </w:pPr>
            <w:r>
              <w:rPr>
                <w:rFonts w:hint="eastAsia" w:cs="Tahoma" w:asciiTheme="minorEastAsia" w:hAnsiTheme="minorEastAsia" w:eastAsiaTheme="minorEastAsia"/>
                <w:b/>
                <w:color w:val="000000"/>
                <w:sz w:val="21"/>
                <w:szCs w:val="21"/>
              </w:rPr>
              <w:t>婚姻</w:t>
            </w: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c>
          <w:tcPr>
            <w:tcW w:w="1080" w:type="dxa"/>
            <w:tcBorders>
              <w:top w:val="nil"/>
              <w:left w:val="nil"/>
              <w:bottom w:val="nil"/>
              <w:right w:val="nil"/>
            </w:tcBorders>
            <w:shd w:val="clear" w:color="auto" w:fill="auto"/>
            <w:noWrap/>
            <w:vAlign w:val="center"/>
          </w:tcPr>
          <w:p>
            <w:pPr>
              <w:adjustRightInd/>
              <w:snapToGrid/>
              <w:spacing w:after="0" w:line="360" w:lineRule="auto"/>
              <w:jc w:val="center"/>
              <w:rPr>
                <w:rFonts w:cs="Tahoma" w:asciiTheme="minorEastAsia" w:hAnsiTheme="minorEastAsia" w:eastAsiaTheme="minorEastAsia"/>
                <w:color w:val="000000"/>
                <w:sz w:val="21"/>
                <w:szCs w:val="21"/>
              </w:rPr>
            </w:pP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未婚</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31</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5.59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1.91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45</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3.49 </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有配偶</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492</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88.65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602</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82.13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1094</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84.94 </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离异</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1.08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1.23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1.16 </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丧偶</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23</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4.14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107</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14.60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130</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10.09 </w:t>
            </w:r>
          </w:p>
        </w:tc>
      </w:tr>
      <w:tr>
        <w:tblPrEx>
          <w:tblCellMar>
            <w:top w:w="0" w:type="dxa"/>
            <w:left w:w="108" w:type="dxa"/>
            <w:bottom w:w="0" w:type="dxa"/>
            <w:right w:w="108" w:type="dxa"/>
          </w:tblCellMar>
        </w:tblPrEx>
        <w:trPr>
          <w:trHeight w:val="285" w:hRule="atLeast"/>
        </w:trPr>
        <w:tc>
          <w:tcPr>
            <w:tcW w:w="138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不详</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0.54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0.14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 xml:space="preserve">0.31 </w:t>
            </w:r>
          </w:p>
        </w:tc>
      </w:tr>
      <w:tr>
        <w:tblPrEx>
          <w:tblCellMar>
            <w:top w:w="0" w:type="dxa"/>
            <w:left w:w="108" w:type="dxa"/>
            <w:bottom w:w="0" w:type="dxa"/>
            <w:right w:w="108" w:type="dxa"/>
          </w:tblCellMar>
        </w:tblPrEx>
        <w:trPr>
          <w:trHeight w:val="285" w:hRule="atLeast"/>
        </w:trPr>
        <w:tc>
          <w:tcPr>
            <w:tcW w:w="1380" w:type="dxa"/>
            <w:tcBorders>
              <w:top w:val="single" w:color="auto" w:sz="4" w:space="0"/>
              <w:left w:val="nil"/>
              <w:bottom w:val="nil"/>
              <w:right w:val="nil"/>
            </w:tcBorders>
            <w:shd w:val="clear" w:color="auto" w:fill="auto"/>
            <w:vAlign w:val="center"/>
          </w:tcPr>
          <w:p>
            <w:pPr>
              <w:adjustRightInd/>
              <w:snapToGrid/>
              <w:spacing w:after="0" w:line="360" w:lineRule="auto"/>
              <w:jc w:val="center"/>
              <w:rPr>
                <w:rFonts w:ascii="Calibri" w:hAnsi="Calibri" w:eastAsia="宋体" w:cs="Calibri"/>
                <w:color w:val="000000"/>
                <w:sz w:val="18"/>
                <w:szCs w:val="18"/>
              </w:rPr>
            </w:pPr>
          </w:p>
        </w:tc>
        <w:tc>
          <w:tcPr>
            <w:tcW w:w="1080" w:type="dxa"/>
            <w:tcBorders>
              <w:top w:val="single" w:color="auto" w:sz="4" w:space="0"/>
              <w:left w:val="nil"/>
              <w:bottom w:val="nil"/>
              <w:right w:val="nil"/>
            </w:tcBorders>
            <w:shd w:val="clear" w:color="auto" w:fill="auto"/>
            <w:vAlign w:val="center"/>
          </w:tcPr>
          <w:p>
            <w:pPr>
              <w:adjustRightInd/>
              <w:snapToGrid/>
              <w:spacing w:after="0" w:line="360" w:lineRule="auto"/>
              <w:jc w:val="center"/>
              <w:rPr>
                <w:rFonts w:ascii="Calibri" w:hAnsi="Calibri" w:eastAsia="宋体" w:cs="Calibri"/>
                <w:color w:val="000000"/>
                <w:sz w:val="18"/>
                <w:szCs w:val="18"/>
              </w:rPr>
            </w:pPr>
          </w:p>
        </w:tc>
        <w:tc>
          <w:tcPr>
            <w:tcW w:w="1080" w:type="dxa"/>
            <w:tcBorders>
              <w:top w:val="single" w:color="auto" w:sz="4" w:space="0"/>
              <w:left w:val="nil"/>
              <w:bottom w:val="nil"/>
              <w:right w:val="nil"/>
            </w:tcBorders>
            <w:shd w:val="clear" w:color="auto" w:fill="auto"/>
            <w:vAlign w:val="center"/>
          </w:tcPr>
          <w:p>
            <w:pPr>
              <w:adjustRightInd/>
              <w:snapToGrid/>
              <w:spacing w:after="0" w:line="360" w:lineRule="auto"/>
              <w:jc w:val="center"/>
              <w:rPr>
                <w:rFonts w:ascii="Calibri" w:hAnsi="Calibri" w:eastAsia="宋体" w:cs="Calibri"/>
                <w:color w:val="000000"/>
                <w:sz w:val="18"/>
                <w:szCs w:val="18"/>
              </w:rPr>
            </w:pPr>
          </w:p>
        </w:tc>
        <w:tc>
          <w:tcPr>
            <w:tcW w:w="1080" w:type="dxa"/>
            <w:tcBorders>
              <w:top w:val="single" w:color="auto" w:sz="4" w:space="0"/>
              <w:left w:val="nil"/>
              <w:bottom w:val="nil"/>
              <w:right w:val="nil"/>
            </w:tcBorders>
            <w:shd w:val="clear" w:color="auto" w:fill="auto"/>
            <w:vAlign w:val="center"/>
          </w:tcPr>
          <w:p>
            <w:pPr>
              <w:adjustRightInd/>
              <w:snapToGrid/>
              <w:spacing w:after="0" w:line="360" w:lineRule="auto"/>
              <w:jc w:val="center"/>
              <w:rPr>
                <w:rFonts w:ascii="Calibri" w:hAnsi="Calibri" w:eastAsia="宋体" w:cs="Calibri"/>
                <w:color w:val="000000"/>
                <w:sz w:val="18"/>
                <w:szCs w:val="18"/>
              </w:rPr>
            </w:pPr>
          </w:p>
        </w:tc>
        <w:tc>
          <w:tcPr>
            <w:tcW w:w="1080" w:type="dxa"/>
            <w:tcBorders>
              <w:top w:val="single" w:color="auto" w:sz="4" w:space="0"/>
              <w:left w:val="nil"/>
              <w:bottom w:val="nil"/>
              <w:right w:val="nil"/>
            </w:tcBorders>
            <w:shd w:val="clear" w:color="auto" w:fill="auto"/>
            <w:vAlign w:val="center"/>
          </w:tcPr>
          <w:p>
            <w:pPr>
              <w:adjustRightInd/>
              <w:snapToGrid/>
              <w:spacing w:after="0" w:line="360" w:lineRule="auto"/>
              <w:jc w:val="center"/>
              <w:rPr>
                <w:rFonts w:ascii="Calibri" w:hAnsi="Calibri" w:eastAsia="宋体" w:cs="Calibri"/>
                <w:color w:val="000000"/>
                <w:sz w:val="18"/>
                <w:szCs w:val="18"/>
              </w:rPr>
            </w:pPr>
          </w:p>
        </w:tc>
        <w:tc>
          <w:tcPr>
            <w:tcW w:w="1080" w:type="dxa"/>
            <w:tcBorders>
              <w:top w:val="single" w:color="auto" w:sz="4" w:space="0"/>
              <w:left w:val="nil"/>
              <w:bottom w:val="nil"/>
              <w:right w:val="nil"/>
            </w:tcBorders>
            <w:shd w:val="clear" w:color="auto" w:fill="auto"/>
            <w:vAlign w:val="center"/>
          </w:tcPr>
          <w:p>
            <w:pPr>
              <w:adjustRightInd/>
              <w:snapToGrid/>
              <w:spacing w:after="0" w:line="360" w:lineRule="auto"/>
              <w:jc w:val="center"/>
              <w:rPr>
                <w:rFonts w:ascii="Calibri" w:hAnsi="Calibri" w:eastAsia="宋体" w:cs="Calibri"/>
                <w:color w:val="000000"/>
                <w:sz w:val="18"/>
                <w:szCs w:val="18"/>
              </w:rPr>
            </w:pPr>
          </w:p>
        </w:tc>
        <w:tc>
          <w:tcPr>
            <w:tcW w:w="1080" w:type="dxa"/>
            <w:tcBorders>
              <w:top w:val="single" w:color="auto" w:sz="4" w:space="0"/>
              <w:left w:val="nil"/>
              <w:bottom w:val="nil"/>
              <w:right w:val="nil"/>
            </w:tcBorders>
            <w:shd w:val="clear" w:color="auto" w:fill="auto"/>
            <w:vAlign w:val="center"/>
          </w:tcPr>
          <w:p>
            <w:pPr>
              <w:adjustRightInd/>
              <w:snapToGrid/>
              <w:spacing w:after="0" w:line="360" w:lineRule="auto"/>
              <w:jc w:val="center"/>
              <w:rPr>
                <w:rFonts w:ascii="Calibri" w:hAnsi="Calibri" w:eastAsia="宋体" w:cs="Calibri"/>
                <w:color w:val="000000"/>
                <w:sz w:val="18"/>
                <w:szCs w:val="18"/>
              </w:rPr>
            </w:pPr>
          </w:p>
        </w:tc>
      </w:tr>
    </w:tbl>
    <w:p>
      <w:pPr>
        <w:pStyle w:val="2"/>
        <w:snapToGrid w:val="0"/>
        <w:spacing w:before="120" w:line="360" w:lineRule="auto"/>
        <w:ind w:left="419" w:hanging="419" w:hangingChars="149"/>
        <w:rPr>
          <w:rFonts w:ascii="宋体" w:hAnsi="宋体" w:eastAsia="宋体"/>
          <w:sz w:val="28"/>
          <w:szCs w:val="28"/>
        </w:rPr>
      </w:pPr>
      <w:r>
        <w:rPr>
          <w:rFonts w:hint="eastAsia" w:ascii="宋体" w:hAnsi="宋体" w:eastAsia="宋体"/>
          <w:sz w:val="28"/>
          <w:szCs w:val="28"/>
        </w:rPr>
        <w:t>3</w:t>
      </w:r>
      <w:r>
        <w:rPr>
          <w:rFonts w:ascii="宋体" w:hAnsi="宋体" w:eastAsia="宋体"/>
          <w:sz w:val="28"/>
          <w:szCs w:val="28"/>
        </w:rPr>
        <w:t>、家庭年收入</w:t>
      </w:r>
    </w:p>
    <w:p>
      <w:pPr>
        <w:spacing w:line="360" w:lineRule="auto"/>
        <w:ind w:firstLine="480" w:firstLineChars="200"/>
        <w:rPr>
          <w:rFonts w:ascii="宋体" w:hAnsi="宋体" w:eastAsia="宋体" w:cs="宋体"/>
          <w:sz w:val="24"/>
          <w:szCs w:val="24"/>
        </w:rPr>
      </w:pPr>
      <w:bookmarkStart w:id="12" w:name="_Toc477619950"/>
      <w:r>
        <w:rPr>
          <w:rFonts w:hint="eastAsia" w:ascii="宋体" w:hAnsi="宋体" w:eastAsia="宋体" w:cs="宋体"/>
          <w:sz w:val="24"/>
          <w:szCs w:val="24"/>
        </w:rPr>
        <w:t>以≥100000为主，占25.62%，其次是2000以下占15.06%，第三是20000-49999占12.81%。12.58%的调查对象拒绝回答家庭年收入的问题。</w:t>
      </w:r>
      <w:bookmarkEnd w:id="12"/>
      <w:r>
        <w:rPr>
          <w:rFonts w:hint="eastAsia" w:ascii="宋体" w:hAnsi="宋体" w:eastAsia="宋体" w:cs="宋体"/>
          <w:bCs/>
          <w:sz w:val="24"/>
          <w:szCs w:val="24"/>
        </w:rPr>
        <w:t>见表6.</w:t>
      </w:r>
    </w:p>
    <w:p>
      <w:pPr>
        <w:pStyle w:val="4"/>
        <w:spacing w:line="360" w:lineRule="auto"/>
        <w:jc w:val="center"/>
        <w:rPr>
          <w:rFonts w:asciiTheme="minorEastAsia" w:hAnsiTheme="minorEastAsia" w:eastAsiaTheme="minorEastAsia"/>
          <w:sz w:val="24"/>
          <w:szCs w:val="24"/>
        </w:rPr>
      </w:pPr>
      <w:r>
        <w:rPr>
          <w:rFonts w:asciiTheme="minorEastAsia" w:hAnsiTheme="minorEastAsia" w:eastAsiaTheme="minorEastAsia"/>
          <w:sz w:val="24"/>
          <w:szCs w:val="24"/>
        </w:rPr>
        <w:t>表</w:t>
      </w:r>
      <w:r>
        <w:rPr>
          <w:rFonts w:hint="eastAsia" w:asciiTheme="minorEastAsia" w:hAnsiTheme="minorEastAsia" w:eastAsiaTheme="minorEastAsia"/>
          <w:sz w:val="24"/>
          <w:szCs w:val="24"/>
        </w:rPr>
        <w:t xml:space="preserve">6    </w:t>
      </w:r>
      <w:r>
        <w:rPr>
          <w:rFonts w:asciiTheme="minorEastAsia" w:hAnsiTheme="minorEastAsia" w:eastAsiaTheme="minorEastAsia"/>
          <w:sz w:val="24"/>
          <w:szCs w:val="24"/>
        </w:rPr>
        <w:t>调查对象的家庭年收入构成</w:t>
      </w:r>
      <w:r>
        <w:rPr>
          <w:rFonts w:hint="eastAsia" w:asciiTheme="minorEastAsia" w:hAnsiTheme="minorEastAsia" w:eastAsiaTheme="minorEastAsia"/>
          <w:sz w:val="22"/>
          <w:szCs w:val="22"/>
        </w:rPr>
        <w:t>(%)</w:t>
      </w:r>
    </w:p>
    <w:tbl>
      <w:tblPr>
        <w:tblStyle w:val="11"/>
        <w:tblW w:w="8380" w:type="dxa"/>
        <w:tblInd w:w="94" w:type="dxa"/>
        <w:tblLayout w:type="fixed"/>
        <w:tblCellMar>
          <w:top w:w="0" w:type="dxa"/>
          <w:left w:w="108" w:type="dxa"/>
          <w:bottom w:w="0" w:type="dxa"/>
          <w:right w:w="108" w:type="dxa"/>
        </w:tblCellMar>
      </w:tblPr>
      <w:tblGrid>
        <w:gridCol w:w="1900"/>
        <w:gridCol w:w="1080"/>
        <w:gridCol w:w="1080"/>
        <w:gridCol w:w="1080"/>
        <w:gridCol w:w="1080"/>
        <w:gridCol w:w="1080"/>
        <w:gridCol w:w="1080"/>
      </w:tblGrid>
      <w:tr>
        <w:tblPrEx>
          <w:tblCellMar>
            <w:top w:w="0" w:type="dxa"/>
            <w:left w:w="108" w:type="dxa"/>
            <w:bottom w:w="0" w:type="dxa"/>
            <w:right w:w="108" w:type="dxa"/>
          </w:tblCellMar>
        </w:tblPrEx>
        <w:trPr>
          <w:trHeight w:val="360" w:hRule="atLeast"/>
        </w:trPr>
        <w:tc>
          <w:tcPr>
            <w:tcW w:w="1900" w:type="dxa"/>
            <w:vMerge w:val="restart"/>
            <w:tcBorders>
              <w:top w:val="single" w:color="auto" w:sz="8" w:space="0"/>
              <w:left w:val="nil"/>
              <w:bottom w:val="single" w:color="000000" w:sz="8" w:space="0"/>
              <w:right w:val="nil"/>
            </w:tcBorders>
            <w:shd w:val="clear" w:color="auto" w:fill="auto"/>
            <w:vAlign w:val="bottom"/>
          </w:tcPr>
          <w:p>
            <w:pPr>
              <w:adjustRightInd/>
              <w:snapToGrid/>
              <w:spacing w:after="0" w:line="360" w:lineRule="auto"/>
              <w:jc w:val="center"/>
              <w:rPr>
                <w:rFonts w:ascii="宋体" w:hAnsi="宋体" w:eastAsia="宋体" w:cs="Tahoma"/>
                <w:color w:val="000000"/>
                <w:sz w:val="18"/>
                <w:szCs w:val="18"/>
              </w:rPr>
            </w:pPr>
            <w:r>
              <w:rPr>
                <w:rFonts w:hint="eastAsia" w:ascii="宋体" w:hAnsi="宋体" w:eastAsia="宋体" w:cs="Tahoma"/>
                <w:color w:val="000000"/>
                <w:sz w:val="18"/>
                <w:szCs w:val="18"/>
              </w:rPr>
              <w:t>家庭年收入</w:t>
            </w:r>
          </w:p>
        </w:tc>
        <w:tc>
          <w:tcPr>
            <w:tcW w:w="2160" w:type="dxa"/>
            <w:gridSpan w:val="2"/>
            <w:tcBorders>
              <w:top w:val="single" w:color="auto" w:sz="8" w:space="0"/>
              <w:left w:val="nil"/>
              <w:bottom w:val="single" w:color="auto" w:sz="8" w:space="0"/>
              <w:right w:val="nil"/>
            </w:tcBorders>
            <w:shd w:val="clear" w:color="auto" w:fill="auto"/>
            <w:vAlign w:val="bottom"/>
          </w:tcPr>
          <w:p>
            <w:pPr>
              <w:adjustRightInd/>
              <w:snapToGrid/>
              <w:spacing w:after="0" w:line="360" w:lineRule="auto"/>
              <w:jc w:val="center"/>
              <w:rPr>
                <w:rFonts w:ascii="宋体" w:hAnsi="宋体" w:eastAsia="宋体" w:cs="Tahoma"/>
                <w:color w:val="000000"/>
                <w:sz w:val="18"/>
                <w:szCs w:val="18"/>
              </w:rPr>
            </w:pPr>
            <w:r>
              <w:rPr>
                <w:rFonts w:hint="eastAsia" w:ascii="宋体" w:hAnsi="宋体" w:eastAsia="宋体" w:cs="Tahoma"/>
                <w:color w:val="000000"/>
                <w:sz w:val="18"/>
                <w:szCs w:val="18"/>
              </w:rPr>
              <w:t>男性</w:t>
            </w:r>
          </w:p>
        </w:tc>
        <w:tc>
          <w:tcPr>
            <w:tcW w:w="2160" w:type="dxa"/>
            <w:gridSpan w:val="2"/>
            <w:tcBorders>
              <w:top w:val="single" w:color="auto" w:sz="8" w:space="0"/>
              <w:left w:val="nil"/>
              <w:bottom w:val="single" w:color="auto" w:sz="8" w:space="0"/>
              <w:right w:val="nil"/>
            </w:tcBorders>
            <w:shd w:val="clear" w:color="auto" w:fill="auto"/>
            <w:vAlign w:val="bottom"/>
          </w:tcPr>
          <w:p>
            <w:pPr>
              <w:adjustRightInd/>
              <w:snapToGrid/>
              <w:spacing w:after="0" w:line="360" w:lineRule="auto"/>
              <w:jc w:val="center"/>
              <w:rPr>
                <w:rFonts w:ascii="宋体" w:hAnsi="宋体" w:eastAsia="宋体" w:cs="Tahoma"/>
                <w:color w:val="000000"/>
                <w:sz w:val="18"/>
                <w:szCs w:val="18"/>
              </w:rPr>
            </w:pPr>
            <w:r>
              <w:rPr>
                <w:rFonts w:hint="eastAsia" w:ascii="宋体" w:hAnsi="宋体" w:eastAsia="宋体" w:cs="Tahoma"/>
                <w:color w:val="000000"/>
                <w:sz w:val="18"/>
                <w:szCs w:val="18"/>
              </w:rPr>
              <w:t>女性</w:t>
            </w:r>
          </w:p>
        </w:tc>
        <w:tc>
          <w:tcPr>
            <w:tcW w:w="2160" w:type="dxa"/>
            <w:gridSpan w:val="2"/>
            <w:tcBorders>
              <w:top w:val="single" w:color="auto" w:sz="8" w:space="0"/>
              <w:left w:val="nil"/>
              <w:bottom w:val="single" w:color="auto" w:sz="8" w:space="0"/>
              <w:right w:val="nil"/>
            </w:tcBorders>
            <w:shd w:val="clear" w:color="auto" w:fill="auto"/>
            <w:vAlign w:val="bottom"/>
          </w:tcPr>
          <w:p>
            <w:pPr>
              <w:adjustRightInd/>
              <w:snapToGrid/>
              <w:spacing w:after="0" w:line="360" w:lineRule="auto"/>
              <w:jc w:val="center"/>
              <w:rPr>
                <w:rFonts w:ascii="宋体" w:hAnsi="宋体" w:eastAsia="宋体" w:cs="Tahoma"/>
                <w:color w:val="000000"/>
                <w:sz w:val="18"/>
                <w:szCs w:val="18"/>
              </w:rPr>
            </w:pPr>
            <w:r>
              <w:rPr>
                <w:rFonts w:hint="eastAsia" w:ascii="宋体" w:hAnsi="宋体" w:eastAsia="宋体" w:cs="Tahoma"/>
                <w:color w:val="000000"/>
                <w:sz w:val="18"/>
                <w:szCs w:val="18"/>
              </w:rPr>
              <w:t>合计</w:t>
            </w:r>
          </w:p>
        </w:tc>
      </w:tr>
      <w:tr>
        <w:tblPrEx>
          <w:tblCellMar>
            <w:top w:w="0" w:type="dxa"/>
            <w:left w:w="108" w:type="dxa"/>
            <w:bottom w:w="0" w:type="dxa"/>
            <w:right w:w="108" w:type="dxa"/>
          </w:tblCellMar>
        </w:tblPrEx>
        <w:trPr>
          <w:trHeight w:val="360" w:hRule="atLeast"/>
        </w:trPr>
        <w:tc>
          <w:tcPr>
            <w:tcW w:w="1900" w:type="dxa"/>
            <w:vMerge w:val="continue"/>
            <w:tcBorders>
              <w:top w:val="single" w:color="auto" w:sz="8" w:space="0"/>
              <w:left w:val="nil"/>
              <w:bottom w:val="single" w:color="000000" w:sz="8" w:space="0"/>
              <w:right w:val="nil"/>
            </w:tcBorders>
            <w:vAlign w:val="center"/>
          </w:tcPr>
          <w:p>
            <w:pPr>
              <w:adjustRightInd/>
              <w:snapToGrid/>
              <w:spacing w:after="0" w:line="360" w:lineRule="auto"/>
              <w:rPr>
                <w:rFonts w:ascii="宋体" w:hAnsi="宋体" w:eastAsia="宋体" w:cs="Tahoma"/>
                <w:color w:val="000000"/>
                <w:sz w:val="18"/>
                <w:szCs w:val="18"/>
              </w:rPr>
            </w:pPr>
          </w:p>
        </w:tc>
        <w:tc>
          <w:tcPr>
            <w:tcW w:w="1080" w:type="dxa"/>
            <w:tcBorders>
              <w:top w:val="nil"/>
              <w:left w:val="nil"/>
              <w:bottom w:val="nil"/>
              <w:right w:val="nil"/>
            </w:tcBorders>
            <w:shd w:val="clear" w:color="auto" w:fill="auto"/>
            <w:vAlign w:val="bottom"/>
          </w:tcPr>
          <w:p>
            <w:pPr>
              <w:adjustRightInd/>
              <w:snapToGrid/>
              <w:spacing w:after="0" w:line="360" w:lineRule="auto"/>
              <w:jc w:val="center"/>
              <w:rPr>
                <w:rFonts w:ascii="宋体" w:hAnsi="宋体" w:eastAsia="宋体" w:cs="Tahoma"/>
                <w:color w:val="000000"/>
                <w:sz w:val="18"/>
                <w:szCs w:val="18"/>
              </w:rPr>
            </w:pPr>
            <w:r>
              <w:rPr>
                <w:rFonts w:hint="eastAsia" w:ascii="宋体" w:hAnsi="宋体" w:eastAsia="宋体" w:cs="Tahoma"/>
                <w:color w:val="000000"/>
                <w:sz w:val="18"/>
                <w:szCs w:val="18"/>
              </w:rPr>
              <w:t>例数</w:t>
            </w:r>
          </w:p>
        </w:tc>
        <w:tc>
          <w:tcPr>
            <w:tcW w:w="1080" w:type="dxa"/>
            <w:tcBorders>
              <w:top w:val="nil"/>
              <w:left w:val="nil"/>
              <w:bottom w:val="nil"/>
              <w:right w:val="nil"/>
            </w:tcBorders>
            <w:shd w:val="clear" w:color="auto" w:fill="auto"/>
            <w:vAlign w:val="bottom"/>
          </w:tcPr>
          <w:p>
            <w:pPr>
              <w:adjustRightInd/>
              <w:snapToGrid/>
              <w:spacing w:after="0" w:line="360" w:lineRule="auto"/>
              <w:jc w:val="center"/>
              <w:rPr>
                <w:rFonts w:ascii="宋体" w:hAnsi="宋体" w:eastAsia="宋体" w:cs="Tahoma"/>
                <w:color w:val="000000"/>
                <w:sz w:val="18"/>
                <w:szCs w:val="18"/>
              </w:rPr>
            </w:pPr>
            <w:r>
              <w:rPr>
                <w:rFonts w:hint="eastAsia" w:ascii="宋体" w:hAnsi="宋体" w:eastAsia="宋体" w:cs="Tahoma"/>
                <w:color w:val="000000"/>
                <w:sz w:val="18"/>
                <w:szCs w:val="18"/>
              </w:rPr>
              <w:t>构成</w:t>
            </w:r>
            <w:r>
              <w:rPr>
                <w:rFonts w:ascii="宋体" w:hAnsi="宋体" w:eastAsia="宋体" w:cs="Tahoma"/>
                <w:color w:val="000000"/>
                <w:sz w:val="18"/>
                <w:szCs w:val="18"/>
              </w:rPr>
              <w:t>%</w:t>
            </w:r>
          </w:p>
        </w:tc>
        <w:tc>
          <w:tcPr>
            <w:tcW w:w="1080" w:type="dxa"/>
            <w:tcBorders>
              <w:top w:val="nil"/>
              <w:left w:val="nil"/>
              <w:bottom w:val="nil"/>
              <w:right w:val="nil"/>
            </w:tcBorders>
            <w:shd w:val="clear" w:color="auto" w:fill="auto"/>
            <w:vAlign w:val="bottom"/>
          </w:tcPr>
          <w:p>
            <w:pPr>
              <w:adjustRightInd/>
              <w:snapToGrid/>
              <w:spacing w:after="0" w:line="360" w:lineRule="auto"/>
              <w:jc w:val="center"/>
              <w:rPr>
                <w:rFonts w:ascii="宋体" w:hAnsi="宋体" w:eastAsia="宋体" w:cs="Tahoma"/>
                <w:color w:val="000000"/>
                <w:sz w:val="18"/>
                <w:szCs w:val="18"/>
              </w:rPr>
            </w:pPr>
            <w:r>
              <w:rPr>
                <w:rFonts w:hint="eastAsia" w:ascii="宋体" w:hAnsi="宋体" w:eastAsia="宋体" w:cs="Tahoma"/>
                <w:color w:val="000000"/>
                <w:sz w:val="18"/>
                <w:szCs w:val="18"/>
              </w:rPr>
              <w:t>例数</w:t>
            </w:r>
          </w:p>
        </w:tc>
        <w:tc>
          <w:tcPr>
            <w:tcW w:w="1080" w:type="dxa"/>
            <w:tcBorders>
              <w:top w:val="nil"/>
              <w:left w:val="nil"/>
              <w:bottom w:val="nil"/>
              <w:right w:val="nil"/>
            </w:tcBorders>
            <w:shd w:val="clear" w:color="auto" w:fill="auto"/>
            <w:vAlign w:val="bottom"/>
          </w:tcPr>
          <w:p>
            <w:pPr>
              <w:adjustRightInd/>
              <w:snapToGrid/>
              <w:spacing w:after="0" w:line="360" w:lineRule="auto"/>
              <w:jc w:val="center"/>
              <w:rPr>
                <w:rFonts w:ascii="宋体" w:hAnsi="宋体" w:eastAsia="宋体" w:cs="Tahoma"/>
                <w:color w:val="000000"/>
                <w:sz w:val="18"/>
                <w:szCs w:val="18"/>
              </w:rPr>
            </w:pPr>
            <w:r>
              <w:rPr>
                <w:rFonts w:hint="eastAsia" w:ascii="宋体" w:hAnsi="宋体" w:eastAsia="宋体" w:cs="Tahoma"/>
                <w:color w:val="000000"/>
                <w:sz w:val="18"/>
                <w:szCs w:val="18"/>
              </w:rPr>
              <w:t>构成</w:t>
            </w:r>
            <w:r>
              <w:rPr>
                <w:rFonts w:ascii="宋体" w:hAnsi="宋体" w:eastAsia="宋体" w:cs="Tahoma"/>
                <w:color w:val="000000"/>
                <w:sz w:val="18"/>
                <w:szCs w:val="18"/>
              </w:rPr>
              <w:t>%</w:t>
            </w:r>
          </w:p>
        </w:tc>
        <w:tc>
          <w:tcPr>
            <w:tcW w:w="1080" w:type="dxa"/>
            <w:tcBorders>
              <w:top w:val="nil"/>
              <w:left w:val="nil"/>
              <w:bottom w:val="nil"/>
              <w:right w:val="nil"/>
            </w:tcBorders>
            <w:shd w:val="clear" w:color="auto" w:fill="auto"/>
            <w:vAlign w:val="bottom"/>
          </w:tcPr>
          <w:p>
            <w:pPr>
              <w:adjustRightInd/>
              <w:snapToGrid/>
              <w:spacing w:after="0" w:line="360" w:lineRule="auto"/>
              <w:jc w:val="center"/>
              <w:rPr>
                <w:rFonts w:ascii="宋体" w:hAnsi="宋体" w:eastAsia="宋体" w:cs="Tahoma"/>
                <w:color w:val="000000"/>
                <w:sz w:val="18"/>
                <w:szCs w:val="18"/>
              </w:rPr>
            </w:pPr>
            <w:r>
              <w:rPr>
                <w:rFonts w:hint="eastAsia" w:ascii="宋体" w:hAnsi="宋体" w:eastAsia="宋体" w:cs="Tahoma"/>
                <w:color w:val="000000"/>
                <w:sz w:val="18"/>
                <w:szCs w:val="18"/>
              </w:rPr>
              <w:t>例数</w:t>
            </w:r>
          </w:p>
        </w:tc>
        <w:tc>
          <w:tcPr>
            <w:tcW w:w="1080" w:type="dxa"/>
            <w:tcBorders>
              <w:top w:val="nil"/>
              <w:left w:val="nil"/>
              <w:bottom w:val="nil"/>
              <w:right w:val="nil"/>
            </w:tcBorders>
            <w:shd w:val="clear" w:color="auto" w:fill="auto"/>
            <w:vAlign w:val="bottom"/>
          </w:tcPr>
          <w:p>
            <w:pPr>
              <w:adjustRightInd/>
              <w:snapToGrid/>
              <w:spacing w:after="0" w:line="360" w:lineRule="auto"/>
              <w:jc w:val="center"/>
              <w:rPr>
                <w:rFonts w:ascii="宋体" w:hAnsi="宋体" w:eastAsia="宋体" w:cs="Tahoma"/>
                <w:color w:val="000000"/>
                <w:sz w:val="18"/>
                <w:szCs w:val="18"/>
              </w:rPr>
            </w:pPr>
            <w:r>
              <w:rPr>
                <w:rFonts w:hint="eastAsia" w:ascii="宋体" w:hAnsi="宋体" w:eastAsia="宋体" w:cs="Tahoma"/>
                <w:color w:val="000000"/>
                <w:sz w:val="18"/>
                <w:szCs w:val="18"/>
              </w:rPr>
              <w:t>构成</w:t>
            </w:r>
            <w:r>
              <w:rPr>
                <w:rFonts w:ascii="宋体" w:hAnsi="宋体" w:eastAsia="宋体" w:cs="Tahoma"/>
                <w:color w:val="000000"/>
                <w:sz w:val="18"/>
                <w:szCs w:val="18"/>
              </w:rPr>
              <w:t>%</w:t>
            </w:r>
          </w:p>
        </w:tc>
      </w:tr>
      <w:tr>
        <w:tblPrEx>
          <w:tblCellMar>
            <w:top w:w="0" w:type="dxa"/>
            <w:left w:w="108" w:type="dxa"/>
            <w:bottom w:w="0" w:type="dxa"/>
            <w:right w:w="108" w:type="dxa"/>
          </w:tblCellMar>
        </w:tblPrEx>
        <w:trPr>
          <w:trHeight w:val="345" w:hRule="atLeast"/>
        </w:trPr>
        <w:tc>
          <w:tcPr>
            <w:tcW w:w="190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0"/>
                <w:szCs w:val="20"/>
              </w:rPr>
            </w:pPr>
            <w:r>
              <w:rPr>
                <w:rFonts w:hint="eastAsia" w:cs="Times New Roman" w:asciiTheme="minorEastAsia" w:hAnsiTheme="minorEastAsia" w:eastAsiaTheme="minorEastAsia"/>
                <w:color w:val="000000"/>
                <w:sz w:val="20"/>
                <w:szCs w:val="20"/>
              </w:rPr>
              <w:t>＜2000</w:t>
            </w:r>
          </w:p>
        </w:tc>
        <w:tc>
          <w:tcPr>
            <w:tcW w:w="1080" w:type="dxa"/>
            <w:tcBorders>
              <w:top w:val="single" w:color="auto" w:sz="8" w:space="0"/>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83</w:t>
            </w:r>
          </w:p>
        </w:tc>
        <w:tc>
          <w:tcPr>
            <w:tcW w:w="1080" w:type="dxa"/>
            <w:tcBorders>
              <w:top w:val="single" w:color="auto" w:sz="8" w:space="0"/>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14.95 </w:t>
            </w:r>
          </w:p>
        </w:tc>
        <w:tc>
          <w:tcPr>
            <w:tcW w:w="1080" w:type="dxa"/>
            <w:tcBorders>
              <w:top w:val="single" w:color="auto" w:sz="8" w:space="0"/>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111</w:t>
            </w:r>
          </w:p>
        </w:tc>
        <w:tc>
          <w:tcPr>
            <w:tcW w:w="1080" w:type="dxa"/>
            <w:tcBorders>
              <w:top w:val="single" w:color="auto" w:sz="8" w:space="0"/>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 xml:space="preserve">15.14 </w:t>
            </w:r>
          </w:p>
        </w:tc>
        <w:tc>
          <w:tcPr>
            <w:tcW w:w="1080" w:type="dxa"/>
            <w:tcBorders>
              <w:top w:val="single" w:color="auto" w:sz="8" w:space="0"/>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194</w:t>
            </w:r>
          </w:p>
        </w:tc>
        <w:tc>
          <w:tcPr>
            <w:tcW w:w="1080" w:type="dxa"/>
            <w:tcBorders>
              <w:top w:val="single" w:color="auto" w:sz="8" w:space="0"/>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15.06 </w:t>
            </w:r>
          </w:p>
        </w:tc>
      </w:tr>
      <w:tr>
        <w:tblPrEx>
          <w:tblCellMar>
            <w:top w:w="0" w:type="dxa"/>
            <w:left w:w="108" w:type="dxa"/>
            <w:bottom w:w="0" w:type="dxa"/>
            <w:right w:w="108" w:type="dxa"/>
          </w:tblCellMar>
        </w:tblPrEx>
        <w:trPr>
          <w:trHeight w:val="285" w:hRule="atLeast"/>
        </w:trPr>
        <w:tc>
          <w:tcPr>
            <w:tcW w:w="190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0"/>
                <w:szCs w:val="20"/>
              </w:rPr>
            </w:pPr>
            <w:r>
              <w:rPr>
                <w:rFonts w:hint="eastAsia" w:cs="Times New Roman" w:asciiTheme="minorEastAsia" w:hAnsiTheme="minorEastAsia" w:eastAsiaTheme="minorEastAsia"/>
                <w:color w:val="000000"/>
                <w:sz w:val="20"/>
                <w:szCs w:val="20"/>
              </w:rPr>
              <w:t>2000-4999</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24</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4.32 </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41</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 xml:space="preserve">5.59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65</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5.05 </w:t>
            </w:r>
          </w:p>
        </w:tc>
      </w:tr>
      <w:tr>
        <w:tblPrEx>
          <w:tblCellMar>
            <w:top w:w="0" w:type="dxa"/>
            <w:left w:w="108" w:type="dxa"/>
            <w:bottom w:w="0" w:type="dxa"/>
            <w:right w:w="108" w:type="dxa"/>
          </w:tblCellMar>
        </w:tblPrEx>
        <w:trPr>
          <w:trHeight w:val="285" w:hRule="atLeast"/>
        </w:trPr>
        <w:tc>
          <w:tcPr>
            <w:tcW w:w="190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0"/>
                <w:szCs w:val="20"/>
              </w:rPr>
            </w:pPr>
            <w:r>
              <w:rPr>
                <w:rFonts w:hint="eastAsia" w:cs="Times New Roman" w:asciiTheme="minorEastAsia" w:hAnsiTheme="minorEastAsia" w:eastAsiaTheme="minorEastAsia"/>
                <w:color w:val="000000"/>
                <w:sz w:val="20"/>
                <w:szCs w:val="20"/>
              </w:rPr>
              <w:t>5000-9999</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26</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4.68 </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45</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 xml:space="preserve">6.14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71</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5.51 </w:t>
            </w:r>
          </w:p>
        </w:tc>
      </w:tr>
      <w:tr>
        <w:tblPrEx>
          <w:tblCellMar>
            <w:top w:w="0" w:type="dxa"/>
            <w:left w:w="108" w:type="dxa"/>
            <w:bottom w:w="0" w:type="dxa"/>
            <w:right w:w="108" w:type="dxa"/>
          </w:tblCellMar>
        </w:tblPrEx>
        <w:trPr>
          <w:trHeight w:val="285" w:hRule="atLeast"/>
        </w:trPr>
        <w:tc>
          <w:tcPr>
            <w:tcW w:w="190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0"/>
                <w:szCs w:val="20"/>
              </w:rPr>
            </w:pPr>
            <w:r>
              <w:rPr>
                <w:rFonts w:hint="eastAsia" w:cs="Times New Roman" w:asciiTheme="minorEastAsia" w:hAnsiTheme="minorEastAsia" w:eastAsiaTheme="minorEastAsia"/>
                <w:color w:val="000000"/>
                <w:sz w:val="20"/>
                <w:szCs w:val="20"/>
              </w:rPr>
              <w:t>10000-14999</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49</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8.83 </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59</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 xml:space="preserve">8.05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108</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8.39 </w:t>
            </w:r>
          </w:p>
        </w:tc>
      </w:tr>
      <w:tr>
        <w:tblPrEx>
          <w:tblCellMar>
            <w:top w:w="0" w:type="dxa"/>
            <w:left w:w="108" w:type="dxa"/>
            <w:bottom w:w="0" w:type="dxa"/>
            <w:right w:w="108" w:type="dxa"/>
          </w:tblCellMar>
        </w:tblPrEx>
        <w:trPr>
          <w:trHeight w:val="285" w:hRule="atLeast"/>
        </w:trPr>
        <w:tc>
          <w:tcPr>
            <w:tcW w:w="190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0"/>
                <w:szCs w:val="20"/>
              </w:rPr>
            </w:pPr>
            <w:r>
              <w:rPr>
                <w:rFonts w:hint="eastAsia" w:cs="Times New Roman" w:asciiTheme="minorEastAsia" w:hAnsiTheme="minorEastAsia" w:eastAsiaTheme="minorEastAsia"/>
                <w:color w:val="000000"/>
                <w:sz w:val="20"/>
                <w:szCs w:val="20"/>
              </w:rPr>
              <w:t>15000-19999</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45</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8.11 </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36</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 xml:space="preserve">4.91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81</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6.29 </w:t>
            </w:r>
          </w:p>
        </w:tc>
      </w:tr>
      <w:tr>
        <w:tblPrEx>
          <w:tblCellMar>
            <w:top w:w="0" w:type="dxa"/>
            <w:left w:w="108" w:type="dxa"/>
            <w:bottom w:w="0" w:type="dxa"/>
            <w:right w:w="108" w:type="dxa"/>
          </w:tblCellMar>
        </w:tblPrEx>
        <w:trPr>
          <w:trHeight w:val="285" w:hRule="atLeast"/>
        </w:trPr>
        <w:tc>
          <w:tcPr>
            <w:tcW w:w="190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0"/>
                <w:szCs w:val="20"/>
              </w:rPr>
            </w:pPr>
            <w:r>
              <w:rPr>
                <w:rFonts w:hint="eastAsia" w:cs="Times New Roman" w:asciiTheme="minorEastAsia" w:hAnsiTheme="minorEastAsia" w:eastAsiaTheme="minorEastAsia"/>
                <w:color w:val="000000"/>
                <w:sz w:val="20"/>
                <w:szCs w:val="20"/>
              </w:rPr>
              <w:t>20000-49999</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66</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11.89 </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99</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 xml:space="preserve">13.51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165</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12.81 </w:t>
            </w:r>
          </w:p>
        </w:tc>
      </w:tr>
      <w:tr>
        <w:tblPrEx>
          <w:tblCellMar>
            <w:top w:w="0" w:type="dxa"/>
            <w:left w:w="108" w:type="dxa"/>
            <w:bottom w:w="0" w:type="dxa"/>
            <w:right w:w="108" w:type="dxa"/>
          </w:tblCellMar>
        </w:tblPrEx>
        <w:trPr>
          <w:trHeight w:val="285" w:hRule="atLeast"/>
        </w:trPr>
        <w:tc>
          <w:tcPr>
            <w:tcW w:w="190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0"/>
                <w:szCs w:val="20"/>
              </w:rPr>
            </w:pPr>
            <w:r>
              <w:rPr>
                <w:rFonts w:hint="eastAsia" w:cs="Times New Roman" w:asciiTheme="minorEastAsia" w:hAnsiTheme="minorEastAsia" w:eastAsiaTheme="minorEastAsia"/>
                <w:color w:val="000000"/>
                <w:sz w:val="20"/>
                <w:szCs w:val="20"/>
              </w:rPr>
              <w:t>50000-99999</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51</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9.19 </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61</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 xml:space="preserve">8.32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112</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8.70 </w:t>
            </w:r>
          </w:p>
        </w:tc>
      </w:tr>
      <w:tr>
        <w:tblPrEx>
          <w:tblCellMar>
            <w:top w:w="0" w:type="dxa"/>
            <w:left w:w="108" w:type="dxa"/>
            <w:bottom w:w="0" w:type="dxa"/>
            <w:right w:w="108" w:type="dxa"/>
          </w:tblCellMar>
        </w:tblPrEx>
        <w:trPr>
          <w:trHeight w:val="285" w:hRule="atLeast"/>
        </w:trPr>
        <w:tc>
          <w:tcPr>
            <w:tcW w:w="1900" w:type="dxa"/>
            <w:tcBorders>
              <w:top w:val="nil"/>
              <w:left w:val="nil"/>
              <w:bottom w:val="nil"/>
              <w:right w:val="nil"/>
            </w:tcBorders>
            <w:shd w:val="clear" w:color="auto" w:fill="auto"/>
          </w:tcPr>
          <w:p>
            <w:pPr>
              <w:spacing w:line="360" w:lineRule="auto"/>
              <w:jc w:val="center"/>
              <w:rPr>
                <w:rFonts w:cs="Times New Roman" w:asciiTheme="minorEastAsia" w:hAnsiTheme="minorEastAsia" w:eastAsiaTheme="minorEastAsia"/>
                <w:color w:val="000000"/>
                <w:sz w:val="20"/>
                <w:szCs w:val="20"/>
              </w:rPr>
            </w:pPr>
            <w:r>
              <w:rPr>
                <w:rFonts w:hint="eastAsia" w:cs="Times New Roman" w:asciiTheme="minorEastAsia" w:hAnsiTheme="minorEastAsia" w:eastAsiaTheme="minorEastAsia"/>
                <w:color w:val="000000"/>
                <w:sz w:val="20"/>
                <w:szCs w:val="20"/>
              </w:rPr>
              <w:t>≥100000</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148</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26.67 </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182</w:t>
            </w:r>
          </w:p>
        </w:tc>
        <w:tc>
          <w:tcPr>
            <w:tcW w:w="1080" w:type="dxa"/>
            <w:tcBorders>
              <w:top w:val="nil"/>
              <w:left w:val="nil"/>
              <w:bottom w:val="nil"/>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 xml:space="preserve">24.83 </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330</w:t>
            </w:r>
          </w:p>
        </w:tc>
        <w:tc>
          <w:tcPr>
            <w:tcW w:w="1080" w:type="dxa"/>
            <w:tcBorders>
              <w:top w:val="nil"/>
              <w:left w:val="nil"/>
              <w:bottom w:val="nil"/>
              <w:right w:val="nil"/>
            </w:tcBorders>
            <w:shd w:val="clear" w:color="auto" w:fill="auto"/>
          </w:tcPr>
          <w:p>
            <w:pPr>
              <w:spacing w:line="360" w:lineRule="auto"/>
              <w:jc w:val="right"/>
              <w:rPr>
                <w:rFonts w:cs="Arial" w:asciiTheme="minorEastAsia" w:hAnsiTheme="minorEastAsia" w:eastAsiaTheme="minorEastAsia"/>
                <w:b/>
                <w:color w:val="000000"/>
                <w:sz w:val="20"/>
                <w:szCs w:val="20"/>
              </w:rPr>
            </w:pPr>
            <w:r>
              <w:rPr>
                <w:rFonts w:cs="Arial" w:asciiTheme="minorEastAsia" w:hAnsiTheme="minorEastAsia" w:eastAsiaTheme="minorEastAsia"/>
                <w:b/>
                <w:color w:val="000000"/>
                <w:sz w:val="20"/>
                <w:szCs w:val="20"/>
              </w:rPr>
              <w:t xml:space="preserve">25.62 </w:t>
            </w:r>
          </w:p>
        </w:tc>
      </w:tr>
      <w:tr>
        <w:tblPrEx>
          <w:tblCellMar>
            <w:top w:w="0" w:type="dxa"/>
            <w:left w:w="108" w:type="dxa"/>
            <w:bottom w:w="0" w:type="dxa"/>
            <w:right w:w="108" w:type="dxa"/>
          </w:tblCellMar>
        </w:tblPrEx>
        <w:trPr>
          <w:trHeight w:val="360" w:hRule="atLeast"/>
        </w:trPr>
        <w:tc>
          <w:tcPr>
            <w:tcW w:w="1900" w:type="dxa"/>
            <w:tcBorders>
              <w:top w:val="nil"/>
              <w:left w:val="nil"/>
              <w:bottom w:val="single" w:color="auto" w:sz="8" w:space="0"/>
              <w:right w:val="nil"/>
            </w:tcBorders>
            <w:shd w:val="clear" w:color="auto" w:fill="auto"/>
          </w:tcPr>
          <w:p>
            <w:pPr>
              <w:spacing w:line="360" w:lineRule="auto"/>
              <w:jc w:val="center"/>
              <w:rPr>
                <w:rFonts w:cs="Times New Roman" w:asciiTheme="minorEastAsia" w:hAnsiTheme="minorEastAsia" w:eastAsiaTheme="minorEastAsia"/>
                <w:color w:val="000000"/>
                <w:sz w:val="20"/>
                <w:szCs w:val="20"/>
              </w:rPr>
            </w:pPr>
            <w:r>
              <w:rPr>
                <w:rFonts w:hint="eastAsia" w:cs="Times New Roman" w:asciiTheme="minorEastAsia" w:hAnsiTheme="minorEastAsia" w:eastAsiaTheme="minorEastAsia"/>
                <w:color w:val="000000"/>
                <w:sz w:val="20"/>
                <w:szCs w:val="20"/>
              </w:rPr>
              <w:t>拒绝回答</w:t>
            </w:r>
          </w:p>
        </w:tc>
        <w:tc>
          <w:tcPr>
            <w:tcW w:w="1080" w:type="dxa"/>
            <w:tcBorders>
              <w:top w:val="nil"/>
              <w:left w:val="nil"/>
              <w:bottom w:val="single" w:color="auto" w:sz="8" w:space="0"/>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63</w:t>
            </w:r>
          </w:p>
        </w:tc>
        <w:tc>
          <w:tcPr>
            <w:tcW w:w="1080" w:type="dxa"/>
            <w:tcBorders>
              <w:top w:val="nil"/>
              <w:left w:val="nil"/>
              <w:bottom w:val="single" w:color="auto" w:sz="8" w:space="0"/>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11.35 </w:t>
            </w:r>
          </w:p>
        </w:tc>
        <w:tc>
          <w:tcPr>
            <w:tcW w:w="1080" w:type="dxa"/>
            <w:tcBorders>
              <w:top w:val="nil"/>
              <w:left w:val="nil"/>
              <w:bottom w:val="single" w:color="auto" w:sz="8" w:space="0"/>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99</w:t>
            </w:r>
          </w:p>
        </w:tc>
        <w:tc>
          <w:tcPr>
            <w:tcW w:w="1080" w:type="dxa"/>
            <w:tcBorders>
              <w:top w:val="nil"/>
              <w:left w:val="nil"/>
              <w:bottom w:val="single" w:color="auto" w:sz="8" w:space="0"/>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 xml:space="preserve">13.51 </w:t>
            </w:r>
          </w:p>
        </w:tc>
        <w:tc>
          <w:tcPr>
            <w:tcW w:w="1080" w:type="dxa"/>
            <w:tcBorders>
              <w:top w:val="nil"/>
              <w:left w:val="nil"/>
              <w:bottom w:val="single" w:color="auto" w:sz="8" w:space="0"/>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162</w:t>
            </w:r>
          </w:p>
        </w:tc>
        <w:tc>
          <w:tcPr>
            <w:tcW w:w="1080" w:type="dxa"/>
            <w:tcBorders>
              <w:top w:val="nil"/>
              <w:left w:val="nil"/>
              <w:bottom w:val="single" w:color="auto" w:sz="8" w:space="0"/>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12.58 </w:t>
            </w:r>
          </w:p>
        </w:tc>
      </w:tr>
      <w:tr>
        <w:tblPrEx>
          <w:tblCellMar>
            <w:top w:w="0" w:type="dxa"/>
            <w:left w:w="108" w:type="dxa"/>
            <w:bottom w:w="0" w:type="dxa"/>
            <w:right w:w="108" w:type="dxa"/>
          </w:tblCellMar>
        </w:tblPrEx>
        <w:trPr>
          <w:trHeight w:val="360" w:hRule="atLeast"/>
        </w:trPr>
        <w:tc>
          <w:tcPr>
            <w:tcW w:w="1900" w:type="dxa"/>
            <w:tcBorders>
              <w:top w:val="nil"/>
              <w:left w:val="nil"/>
              <w:bottom w:val="single" w:color="auto" w:sz="8" w:space="0"/>
              <w:right w:val="nil"/>
            </w:tcBorders>
            <w:shd w:val="clear" w:color="auto" w:fill="auto"/>
            <w:vAlign w:val="center"/>
          </w:tcPr>
          <w:p>
            <w:pPr>
              <w:spacing w:line="360" w:lineRule="auto"/>
              <w:jc w:val="center"/>
              <w:rPr>
                <w:rFonts w:cs="Times New Roman" w:asciiTheme="minorEastAsia" w:hAnsiTheme="minorEastAsia" w:eastAsiaTheme="minorEastAsia"/>
                <w:color w:val="000000"/>
                <w:sz w:val="20"/>
                <w:szCs w:val="20"/>
              </w:rPr>
            </w:pPr>
            <w:r>
              <w:rPr>
                <w:rFonts w:hint="eastAsia" w:cs="Times New Roman" w:asciiTheme="minorEastAsia" w:hAnsiTheme="minorEastAsia" w:eastAsiaTheme="minorEastAsia"/>
                <w:color w:val="000000"/>
                <w:sz w:val="20"/>
                <w:szCs w:val="20"/>
              </w:rPr>
              <w:t>合计</w:t>
            </w:r>
          </w:p>
        </w:tc>
        <w:tc>
          <w:tcPr>
            <w:tcW w:w="1080" w:type="dxa"/>
            <w:tcBorders>
              <w:top w:val="nil"/>
              <w:left w:val="nil"/>
              <w:bottom w:val="single" w:color="auto" w:sz="8" w:space="0"/>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555</w:t>
            </w:r>
          </w:p>
        </w:tc>
        <w:tc>
          <w:tcPr>
            <w:tcW w:w="1080" w:type="dxa"/>
            <w:tcBorders>
              <w:top w:val="nil"/>
              <w:left w:val="nil"/>
              <w:bottom w:val="single" w:color="auto" w:sz="8" w:space="0"/>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100.00 </w:t>
            </w:r>
          </w:p>
        </w:tc>
        <w:tc>
          <w:tcPr>
            <w:tcW w:w="1080" w:type="dxa"/>
            <w:tcBorders>
              <w:top w:val="nil"/>
              <w:left w:val="nil"/>
              <w:bottom w:val="single" w:color="auto" w:sz="8" w:space="0"/>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733</w:t>
            </w:r>
          </w:p>
        </w:tc>
        <w:tc>
          <w:tcPr>
            <w:tcW w:w="1080" w:type="dxa"/>
            <w:tcBorders>
              <w:top w:val="nil"/>
              <w:left w:val="nil"/>
              <w:bottom w:val="single" w:color="auto" w:sz="8" w:space="0"/>
              <w:right w:val="nil"/>
            </w:tcBorders>
            <w:shd w:val="clear" w:color="auto" w:fill="auto"/>
          </w:tcPr>
          <w:p>
            <w:pPr>
              <w:spacing w:line="360" w:lineRule="auto"/>
              <w:jc w:val="right"/>
              <w:rPr>
                <w:rFonts w:ascii="宋体" w:hAnsi="宋体" w:eastAsia="宋体" w:cs="Arial"/>
                <w:color w:val="000000"/>
                <w:sz w:val="20"/>
                <w:szCs w:val="20"/>
              </w:rPr>
            </w:pPr>
            <w:r>
              <w:rPr>
                <w:rFonts w:ascii="宋体" w:hAnsi="宋体" w:eastAsia="宋体" w:cs="Arial"/>
                <w:color w:val="000000"/>
                <w:sz w:val="20"/>
                <w:szCs w:val="20"/>
              </w:rPr>
              <w:t xml:space="preserve">100.00 </w:t>
            </w:r>
          </w:p>
        </w:tc>
        <w:tc>
          <w:tcPr>
            <w:tcW w:w="1080" w:type="dxa"/>
            <w:tcBorders>
              <w:top w:val="nil"/>
              <w:left w:val="nil"/>
              <w:bottom w:val="single" w:color="auto" w:sz="8" w:space="0"/>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1288</w:t>
            </w:r>
          </w:p>
        </w:tc>
        <w:tc>
          <w:tcPr>
            <w:tcW w:w="1080" w:type="dxa"/>
            <w:tcBorders>
              <w:top w:val="nil"/>
              <w:left w:val="nil"/>
              <w:bottom w:val="single" w:color="auto" w:sz="8" w:space="0"/>
              <w:right w:val="nil"/>
            </w:tcBorders>
            <w:shd w:val="clear" w:color="auto" w:fill="auto"/>
          </w:tcPr>
          <w:p>
            <w:pPr>
              <w:spacing w:line="360" w:lineRule="auto"/>
              <w:jc w:val="right"/>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 xml:space="preserve">100.00 </w:t>
            </w:r>
          </w:p>
        </w:tc>
      </w:tr>
    </w:tbl>
    <w:p>
      <w:pPr>
        <w:spacing w:line="360" w:lineRule="auto"/>
      </w:pPr>
    </w:p>
    <w:p>
      <w:pPr>
        <w:spacing w:line="360" w:lineRule="auto"/>
        <w:ind w:firstLine="275" w:firstLineChars="98"/>
        <w:rPr>
          <w:rFonts w:asciiTheme="minorEastAsia" w:hAnsiTheme="minorEastAsia" w:eastAsiaTheme="minorEastAsia"/>
          <w:b/>
          <w:sz w:val="28"/>
          <w:szCs w:val="28"/>
        </w:rPr>
      </w:pPr>
      <w:r>
        <w:rPr>
          <w:rFonts w:hint="eastAsia" w:asciiTheme="minorEastAsia" w:hAnsiTheme="minorEastAsia" w:eastAsiaTheme="minorEastAsia"/>
          <w:b/>
          <w:sz w:val="28"/>
          <w:szCs w:val="28"/>
        </w:rPr>
        <w:t>4、高血压患病情况</w:t>
      </w:r>
    </w:p>
    <w:p>
      <w:pPr>
        <w:spacing w:line="360" w:lineRule="auto"/>
        <w:ind w:firstLine="236" w:firstLineChars="98"/>
        <w:rPr>
          <w:rFonts w:asciiTheme="minorEastAsia" w:hAnsiTheme="minorEastAsia" w:eastAsiaTheme="minorEastAsia"/>
          <w:b/>
          <w:sz w:val="24"/>
        </w:rPr>
      </w:pPr>
      <w:r>
        <w:rPr>
          <w:rFonts w:hint="eastAsia" w:asciiTheme="minorEastAsia" w:hAnsiTheme="minorEastAsia" w:eastAsiaTheme="minorEastAsia"/>
          <w:b/>
          <w:sz w:val="24"/>
        </w:rPr>
        <w:t>4.1高血压患病率</w:t>
      </w:r>
    </w:p>
    <w:p>
      <w:pPr>
        <w:spacing w:beforeLines="50" w:afterLines="50"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调查发现，高血压患者638人，高血压患病率为50.00%（638/1276），男性人群高血压患病率为54.18%（298/550），女性人群高血压患病率为46.83（340/726），男性人群高血压患病率高于女性人群高血压患病率。全国2010年第六次人口普查数据性别年龄标化后, 高血压标化患病率为26.01%，男性高血压标化患病率为28.37%，女性高血压标化患病率为23.58%。见表7. 见图19.</w:t>
      </w:r>
    </w:p>
    <w:p>
      <w:pPr>
        <w:spacing w:line="360" w:lineRule="auto"/>
        <w:jc w:val="center"/>
        <w:rPr>
          <w:rFonts w:asciiTheme="minorEastAsia" w:hAnsiTheme="minorEastAsia" w:eastAsiaTheme="minorEastAsia"/>
          <w:color w:val="000000"/>
        </w:rPr>
      </w:pPr>
      <w:bookmarkStart w:id="13" w:name="OLE_LINK7"/>
      <w:r>
        <w:rPr>
          <w:rFonts w:hint="eastAsia" w:asciiTheme="minorEastAsia" w:hAnsiTheme="minorEastAsia" w:eastAsiaTheme="minorEastAsia"/>
          <w:color w:val="000000"/>
        </w:rPr>
        <w:t>表7   调查对象分年龄组高血压患病率</w:t>
      </w:r>
      <w:r>
        <w:rPr>
          <w:rFonts w:hint="eastAsia" w:cs="Times New Roman" w:asciiTheme="minorEastAsia" w:hAnsiTheme="minorEastAsia" w:eastAsiaTheme="minorEastAsia"/>
        </w:rPr>
        <w:t>（%）</w:t>
      </w:r>
    </w:p>
    <w:bookmarkEnd w:id="13"/>
    <w:tbl>
      <w:tblPr>
        <w:tblStyle w:val="11"/>
        <w:tblW w:w="8519" w:type="dxa"/>
        <w:tblInd w:w="0" w:type="dxa"/>
        <w:tblLayout w:type="fixed"/>
        <w:tblCellMar>
          <w:top w:w="0" w:type="dxa"/>
          <w:left w:w="108" w:type="dxa"/>
          <w:bottom w:w="0" w:type="dxa"/>
          <w:right w:w="108" w:type="dxa"/>
        </w:tblCellMar>
      </w:tblPr>
      <w:tblGrid>
        <w:gridCol w:w="1151"/>
        <w:gridCol w:w="1064"/>
        <w:gridCol w:w="1243"/>
        <w:gridCol w:w="236"/>
        <w:gridCol w:w="903"/>
        <w:gridCol w:w="1300"/>
        <w:gridCol w:w="236"/>
        <w:gridCol w:w="1093"/>
        <w:gridCol w:w="1293"/>
      </w:tblGrid>
      <w:tr>
        <w:tblPrEx>
          <w:tblCellMar>
            <w:top w:w="0" w:type="dxa"/>
            <w:left w:w="108" w:type="dxa"/>
            <w:bottom w:w="0" w:type="dxa"/>
            <w:right w:w="108" w:type="dxa"/>
          </w:tblCellMar>
        </w:tblPrEx>
        <w:trPr>
          <w:trHeight w:val="90" w:hRule="atLeast"/>
        </w:trPr>
        <w:tc>
          <w:tcPr>
            <w:tcW w:w="1154" w:type="dxa"/>
            <w:vMerge w:val="restart"/>
            <w:tcBorders>
              <w:top w:val="single" w:color="auto" w:sz="8" w:space="0"/>
              <w:left w:val="nil"/>
              <w:bottom w:val="single" w:color="000000" w:sz="8" w:space="0"/>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年龄</w:t>
            </w:r>
          </w:p>
        </w:tc>
        <w:tc>
          <w:tcPr>
            <w:tcW w:w="2315"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男性</w:t>
            </w:r>
          </w:p>
        </w:tc>
        <w:tc>
          <w:tcPr>
            <w:tcW w:w="222"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　</w:t>
            </w:r>
          </w:p>
        </w:tc>
        <w:tc>
          <w:tcPr>
            <w:tcW w:w="2211"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女性</w:t>
            </w:r>
          </w:p>
        </w:tc>
        <w:tc>
          <w:tcPr>
            <w:tcW w:w="222"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　</w:t>
            </w:r>
          </w:p>
        </w:tc>
        <w:tc>
          <w:tcPr>
            <w:tcW w:w="2395"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合计</w:t>
            </w:r>
          </w:p>
        </w:tc>
      </w:tr>
      <w:tr>
        <w:tblPrEx>
          <w:tblCellMar>
            <w:top w:w="0" w:type="dxa"/>
            <w:left w:w="108" w:type="dxa"/>
            <w:bottom w:w="0" w:type="dxa"/>
            <w:right w:w="108" w:type="dxa"/>
          </w:tblCellMar>
        </w:tblPrEx>
        <w:trPr>
          <w:trHeight w:val="90" w:hRule="atLeast"/>
        </w:trPr>
        <w:tc>
          <w:tcPr>
            <w:tcW w:w="1154" w:type="dxa"/>
            <w:vMerge w:val="continue"/>
            <w:tcBorders>
              <w:top w:val="single" w:color="auto" w:sz="8" w:space="0"/>
              <w:left w:val="nil"/>
              <w:bottom w:val="single" w:color="000000" w:sz="8" w:space="0"/>
              <w:right w:val="nil"/>
            </w:tcBorders>
            <w:vAlign w:val="center"/>
          </w:tcPr>
          <w:p>
            <w:pPr>
              <w:spacing w:line="360" w:lineRule="auto"/>
              <w:jc w:val="center"/>
              <w:rPr>
                <w:rFonts w:asciiTheme="minorEastAsia" w:hAnsiTheme="minorEastAsia" w:eastAsiaTheme="minorEastAsia"/>
                <w:color w:val="000000"/>
                <w:sz w:val="20"/>
                <w:szCs w:val="20"/>
              </w:rPr>
            </w:pPr>
          </w:p>
        </w:tc>
        <w:tc>
          <w:tcPr>
            <w:tcW w:w="1068"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例数</w:t>
            </w:r>
          </w:p>
        </w:tc>
        <w:tc>
          <w:tcPr>
            <w:tcW w:w="124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患病率</w:t>
            </w:r>
          </w:p>
        </w:tc>
        <w:tc>
          <w:tcPr>
            <w:tcW w:w="22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0"/>
                <w:szCs w:val="20"/>
              </w:rPr>
            </w:pPr>
          </w:p>
        </w:tc>
        <w:tc>
          <w:tcPr>
            <w:tcW w:w="906"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例数</w:t>
            </w:r>
          </w:p>
        </w:tc>
        <w:tc>
          <w:tcPr>
            <w:tcW w:w="1305"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患病率</w:t>
            </w:r>
          </w:p>
        </w:tc>
        <w:tc>
          <w:tcPr>
            <w:tcW w:w="22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0"/>
                <w:szCs w:val="20"/>
              </w:rPr>
            </w:pPr>
          </w:p>
        </w:tc>
        <w:tc>
          <w:tcPr>
            <w:tcW w:w="109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例数</w:t>
            </w:r>
          </w:p>
        </w:tc>
        <w:tc>
          <w:tcPr>
            <w:tcW w:w="1298"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患病率</w:t>
            </w:r>
          </w:p>
        </w:tc>
      </w:tr>
      <w:tr>
        <w:tblPrEx>
          <w:tblCellMar>
            <w:top w:w="0" w:type="dxa"/>
            <w:left w:w="108" w:type="dxa"/>
            <w:bottom w:w="0" w:type="dxa"/>
            <w:right w:w="108" w:type="dxa"/>
          </w:tblCellMar>
        </w:tblPrEx>
        <w:trPr>
          <w:trHeight w:val="90" w:hRule="atLeast"/>
        </w:trPr>
        <w:tc>
          <w:tcPr>
            <w:tcW w:w="1154" w:type="dxa"/>
            <w:tcBorders>
              <w:top w:val="nil"/>
              <w:left w:val="nil"/>
              <w:bottom w:val="nil"/>
              <w:right w:val="nil"/>
            </w:tcBorders>
          </w:tcPr>
          <w:p>
            <w:pPr>
              <w:spacing w:line="360" w:lineRule="auto"/>
              <w:jc w:val="center"/>
              <w:rPr>
                <w:rFonts w:asciiTheme="minorEastAsia" w:hAnsiTheme="minorEastAsia" w:eastAsiaTheme="minorEastAsia"/>
                <w:color w:val="000000"/>
                <w:sz w:val="20"/>
                <w:szCs w:val="20"/>
              </w:rPr>
            </w:pPr>
            <w:bookmarkStart w:id="14" w:name="OLE_LINK5" w:colFirst="5" w:colLast="5"/>
            <w:bookmarkStart w:id="15" w:name="OLE_LINK4" w:colFirst="2" w:colLast="2"/>
            <w:bookmarkStart w:id="16" w:name="OLE_LINK6" w:colFirst="8" w:colLast="8"/>
            <w:bookmarkStart w:id="17" w:name="OLE_LINK2" w:colFirst="5" w:colLast="5"/>
            <w:bookmarkStart w:id="18" w:name="OLE_LINK1" w:colFirst="2" w:colLast="2"/>
            <w:bookmarkStart w:id="19" w:name="OLE_LINK3" w:colFirst="8" w:colLast="8"/>
            <w:r>
              <w:rPr>
                <w:rFonts w:hint="eastAsia" w:asciiTheme="minorEastAsia" w:hAnsiTheme="minorEastAsia" w:eastAsiaTheme="minorEastAsia"/>
                <w:color w:val="000000"/>
                <w:sz w:val="20"/>
                <w:szCs w:val="20"/>
              </w:rPr>
              <w:t>18～</w:t>
            </w:r>
          </w:p>
        </w:tc>
        <w:tc>
          <w:tcPr>
            <w:tcW w:w="1068" w:type="dxa"/>
            <w:tcBorders>
              <w:top w:val="single" w:color="auto" w:sz="8" w:space="0"/>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2</w:t>
            </w:r>
          </w:p>
        </w:tc>
        <w:tc>
          <w:tcPr>
            <w:tcW w:w="1247" w:type="dxa"/>
            <w:tcBorders>
              <w:top w:val="single" w:color="auto" w:sz="8" w:space="0"/>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9.09</w:t>
            </w:r>
          </w:p>
        </w:tc>
        <w:tc>
          <w:tcPr>
            <w:tcW w:w="222" w:type="dxa"/>
            <w:tcBorders>
              <w:top w:val="single" w:color="auto" w:sz="8" w:space="0"/>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906" w:type="dxa"/>
            <w:tcBorders>
              <w:top w:val="single" w:color="auto" w:sz="8" w:space="0"/>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0</w:t>
            </w:r>
          </w:p>
        </w:tc>
        <w:tc>
          <w:tcPr>
            <w:tcW w:w="1305" w:type="dxa"/>
            <w:tcBorders>
              <w:top w:val="single" w:color="auto" w:sz="8" w:space="0"/>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0.00</w:t>
            </w:r>
          </w:p>
        </w:tc>
        <w:tc>
          <w:tcPr>
            <w:tcW w:w="222" w:type="dxa"/>
            <w:tcBorders>
              <w:top w:val="single" w:color="auto" w:sz="8" w:space="0"/>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1097" w:type="dxa"/>
            <w:tcBorders>
              <w:top w:val="single" w:color="auto" w:sz="8" w:space="0"/>
              <w:left w:val="nil"/>
              <w:bottom w:val="nil"/>
              <w:right w:val="nil"/>
            </w:tcBorders>
            <w:noWrap/>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p>
        </w:tc>
        <w:tc>
          <w:tcPr>
            <w:tcW w:w="1298" w:type="dxa"/>
            <w:tcBorders>
              <w:top w:val="single" w:color="auto" w:sz="8" w:space="0"/>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4.44</w:t>
            </w:r>
          </w:p>
        </w:tc>
      </w:tr>
      <w:tr>
        <w:tblPrEx>
          <w:tblCellMar>
            <w:top w:w="0" w:type="dxa"/>
            <w:left w:w="108" w:type="dxa"/>
            <w:bottom w:w="0" w:type="dxa"/>
            <w:right w:w="108" w:type="dxa"/>
          </w:tblCellMar>
        </w:tblPrEx>
        <w:trPr>
          <w:trHeight w:val="90" w:hRule="atLeast"/>
        </w:trPr>
        <w:tc>
          <w:tcPr>
            <w:tcW w:w="1154" w:type="dxa"/>
            <w:tcBorders>
              <w:top w:val="nil"/>
              <w:left w:val="nil"/>
              <w:bottom w:val="nil"/>
              <w:right w:val="nil"/>
            </w:tcBorders>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30～</w:t>
            </w:r>
          </w:p>
        </w:tc>
        <w:tc>
          <w:tcPr>
            <w:tcW w:w="1068"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6</w:t>
            </w:r>
          </w:p>
        </w:tc>
        <w:tc>
          <w:tcPr>
            <w:tcW w:w="124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24.00</w:t>
            </w:r>
          </w:p>
        </w:tc>
        <w:tc>
          <w:tcPr>
            <w:tcW w:w="222"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90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3</w:t>
            </w:r>
          </w:p>
        </w:tc>
        <w:tc>
          <w:tcPr>
            <w:tcW w:w="1305"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7.69</w:t>
            </w:r>
          </w:p>
        </w:tc>
        <w:tc>
          <w:tcPr>
            <w:tcW w:w="222"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1097" w:type="dxa"/>
            <w:tcBorders>
              <w:top w:val="nil"/>
              <w:left w:val="nil"/>
              <w:bottom w:val="nil"/>
              <w:right w:val="nil"/>
            </w:tcBorders>
            <w:noWrap/>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9</w:t>
            </w:r>
          </w:p>
        </w:tc>
        <w:tc>
          <w:tcPr>
            <w:tcW w:w="1298"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14.06</w:t>
            </w:r>
          </w:p>
        </w:tc>
      </w:tr>
      <w:tr>
        <w:tblPrEx>
          <w:tblCellMar>
            <w:top w:w="0" w:type="dxa"/>
            <w:left w:w="108" w:type="dxa"/>
            <w:bottom w:w="0" w:type="dxa"/>
            <w:right w:w="108" w:type="dxa"/>
          </w:tblCellMar>
        </w:tblPrEx>
        <w:trPr>
          <w:trHeight w:val="90" w:hRule="atLeast"/>
        </w:trPr>
        <w:tc>
          <w:tcPr>
            <w:tcW w:w="1154" w:type="dxa"/>
            <w:tcBorders>
              <w:top w:val="nil"/>
              <w:left w:val="nil"/>
              <w:bottom w:val="nil"/>
              <w:right w:val="nil"/>
            </w:tcBorders>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40～</w:t>
            </w:r>
          </w:p>
        </w:tc>
        <w:tc>
          <w:tcPr>
            <w:tcW w:w="1068"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27</w:t>
            </w:r>
          </w:p>
        </w:tc>
        <w:tc>
          <w:tcPr>
            <w:tcW w:w="124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36.00</w:t>
            </w:r>
          </w:p>
        </w:tc>
        <w:tc>
          <w:tcPr>
            <w:tcW w:w="222"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90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24</w:t>
            </w:r>
          </w:p>
        </w:tc>
        <w:tc>
          <w:tcPr>
            <w:tcW w:w="1305"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17.91</w:t>
            </w:r>
          </w:p>
        </w:tc>
        <w:tc>
          <w:tcPr>
            <w:tcW w:w="222"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1097" w:type="dxa"/>
            <w:tcBorders>
              <w:top w:val="nil"/>
              <w:left w:val="nil"/>
              <w:bottom w:val="nil"/>
              <w:right w:val="nil"/>
            </w:tcBorders>
            <w:noWrap/>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51</w:t>
            </w:r>
          </w:p>
        </w:tc>
        <w:tc>
          <w:tcPr>
            <w:tcW w:w="1298"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24.40</w:t>
            </w:r>
          </w:p>
        </w:tc>
      </w:tr>
      <w:tr>
        <w:tblPrEx>
          <w:tblCellMar>
            <w:top w:w="0" w:type="dxa"/>
            <w:left w:w="108" w:type="dxa"/>
            <w:bottom w:w="0" w:type="dxa"/>
            <w:right w:w="108" w:type="dxa"/>
          </w:tblCellMar>
        </w:tblPrEx>
        <w:trPr>
          <w:trHeight w:val="90" w:hRule="atLeast"/>
        </w:trPr>
        <w:tc>
          <w:tcPr>
            <w:tcW w:w="1154" w:type="dxa"/>
            <w:tcBorders>
              <w:top w:val="nil"/>
              <w:left w:val="nil"/>
              <w:bottom w:val="nil"/>
              <w:right w:val="nil"/>
            </w:tcBorders>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50～</w:t>
            </w:r>
          </w:p>
        </w:tc>
        <w:tc>
          <w:tcPr>
            <w:tcW w:w="1068"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61</w:t>
            </w:r>
          </w:p>
        </w:tc>
        <w:tc>
          <w:tcPr>
            <w:tcW w:w="124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42.07</w:t>
            </w:r>
          </w:p>
        </w:tc>
        <w:tc>
          <w:tcPr>
            <w:tcW w:w="222"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90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73</w:t>
            </w:r>
          </w:p>
        </w:tc>
        <w:tc>
          <w:tcPr>
            <w:tcW w:w="1305"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39.04</w:t>
            </w:r>
          </w:p>
        </w:tc>
        <w:tc>
          <w:tcPr>
            <w:tcW w:w="222"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1097" w:type="dxa"/>
            <w:tcBorders>
              <w:top w:val="nil"/>
              <w:left w:val="nil"/>
              <w:bottom w:val="nil"/>
              <w:right w:val="nil"/>
            </w:tcBorders>
            <w:noWrap/>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134</w:t>
            </w:r>
          </w:p>
        </w:tc>
        <w:tc>
          <w:tcPr>
            <w:tcW w:w="1298"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40.36</w:t>
            </w:r>
          </w:p>
        </w:tc>
      </w:tr>
      <w:tr>
        <w:tblPrEx>
          <w:tblCellMar>
            <w:top w:w="0" w:type="dxa"/>
            <w:left w:w="108" w:type="dxa"/>
            <w:bottom w:w="0" w:type="dxa"/>
            <w:right w:w="108" w:type="dxa"/>
          </w:tblCellMar>
        </w:tblPrEx>
        <w:trPr>
          <w:trHeight w:val="90" w:hRule="atLeast"/>
        </w:trPr>
        <w:tc>
          <w:tcPr>
            <w:tcW w:w="1154" w:type="dxa"/>
            <w:tcBorders>
              <w:top w:val="nil"/>
              <w:left w:val="nil"/>
              <w:bottom w:val="nil"/>
              <w:right w:val="nil"/>
            </w:tcBorders>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60～</w:t>
            </w:r>
          </w:p>
        </w:tc>
        <w:tc>
          <w:tcPr>
            <w:tcW w:w="1068"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95</w:t>
            </w:r>
          </w:p>
        </w:tc>
        <w:tc>
          <w:tcPr>
            <w:tcW w:w="124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67.86</w:t>
            </w:r>
          </w:p>
        </w:tc>
        <w:tc>
          <w:tcPr>
            <w:tcW w:w="222"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90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119</w:t>
            </w:r>
          </w:p>
        </w:tc>
        <w:tc>
          <w:tcPr>
            <w:tcW w:w="1305"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61.34</w:t>
            </w:r>
          </w:p>
        </w:tc>
        <w:tc>
          <w:tcPr>
            <w:tcW w:w="222"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1097" w:type="dxa"/>
            <w:tcBorders>
              <w:top w:val="nil"/>
              <w:left w:val="nil"/>
              <w:bottom w:val="nil"/>
              <w:right w:val="nil"/>
            </w:tcBorders>
            <w:noWrap/>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214</w:t>
            </w:r>
          </w:p>
        </w:tc>
        <w:tc>
          <w:tcPr>
            <w:tcW w:w="1298"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64.07</w:t>
            </w:r>
          </w:p>
        </w:tc>
      </w:tr>
      <w:tr>
        <w:tblPrEx>
          <w:tblCellMar>
            <w:top w:w="0" w:type="dxa"/>
            <w:left w:w="108" w:type="dxa"/>
            <w:bottom w:w="0" w:type="dxa"/>
            <w:right w:w="108" w:type="dxa"/>
          </w:tblCellMar>
        </w:tblPrEx>
        <w:trPr>
          <w:trHeight w:val="90" w:hRule="atLeast"/>
        </w:trPr>
        <w:tc>
          <w:tcPr>
            <w:tcW w:w="1154" w:type="dxa"/>
            <w:tcBorders>
              <w:top w:val="nil"/>
              <w:left w:val="nil"/>
              <w:bottom w:val="nil"/>
              <w:right w:val="nil"/>
            </w:tcBorders>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70～</w:t>
            </w:r>
          </w:p>
        </w:tc>
        <w:tc>
          <w:tcPr>
            <w:tcW w:w="1068"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78</w:t>
            </w:r>
          </w:p>
        </w:tc>
        <w:tc>
          <w:tcPr>
            <w:tcW w:w="124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70.91</w:t>
            </w:r>
          </w:p>
        </w:tc>
        <w:tc>
          <w:tcPr>
            <w:tcW w:w="222"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90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79</w:t>
            </w:r>
          </w:p>
        </w:tc>
        <w:tc>
          <w:tcPr>
            <w:tcW w:w="1305"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78.22</w:t>
            </w:r>
          </w:p>
        </w:tc>
        <w:tc>
          <w:tcPr>
            <w:tcW w:w="222"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1097" w:type="dxa"/>
            <w:tcBorders>
              <w:top w:val="nil"/>
              <w:left w:val="nil"/>
              <w:bottom w:val="nil"/>
              <w:right w:val="nil"/>
            </w:tcBorders>
            <w:noWrap/>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157</w:t>
            </w:r>
          </w:p>
        </w:tc>
        <w:tc>
          <w:tcPr>
            <w:tcW w:w="1298"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74.41</w:t>
            </w:r>
          </w:p>
        </w:tc>
      </w:tr>
      <w:tr>
        <w:tblPrEx>
          <w:tblCellMar>
            <w:top w:w="0" w:type="dxa"/>
            <w:left w:w="108" w:type="dxa"/>
            <w:bottom w:w="0" w:type="dxa"/>
            <w:right w:w="108" w:type="dxa"/>
          </w:tblCellMar>
        </w:tblPrEx>
        <w:trPr>
          <w:trHeight w:val="90" w:hRule="atLeast"/>
        </w:trPr>
        <w:tc>
          <w:tcPr>
            <w:tcW w:w="1154" w:type="dxa"/>
            <w:tcBorders>
              <w:top w:val="nil"/>
              <w:left w:val="nil"/>
              <w:bottom w:val="single" w:color="auto" w:sz="8" w:space="0"/>
              <w:right w:val="nil"/>
            </w:tcBorders>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80～</w:t>
            </w:r>
          </w:p>
        </w:tc>
        <w:tc>
          <w:tcPr>
            <w:tcW w:w="1068"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29</w:t>
            </w:r>
          </w:p>
        </w:tc>
        <w:tc>
          <w:tcPr>
            <w:tcW w:w="1247"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87.88</w:t>
            </w:r>
          </w:p>
        </w:tc>
        <w:tc>
          <w:tcPr>
            <w:tcW w:w="222"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906"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42</w:t>
            </w:r>
          </w:p>
        </w:tc>
        <w:tc>
          <w:tcPr>
            <w:tcW w:w="1305"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87.50</w:t>
            </w:r>
          </w:p>
        </w:tc>
        <w:tc>
          <w:tcPr>
            <w:tcW w:w="222"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1097" w:type="dxa"/>
            <w:tcBorders>
              <w:top w:val="nil"/>
              <w:left w:val="nil"/>
              <w:bottom w:val="single" w:color="auto" w:sz="8" w:space="0"/>
              <w:right w:val="nil"/>
            </w:tcBorders>
            <w:noWrap/>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71</w:t>
            </w:r>
          </w:p>
        </w:tc>
        <w:tc>
          <w:tcPr>
            <w:tcW w:w="1298"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87.65</w:t>
            </w:r>
          </w:p>
        </w:tc>
      </w:tr>
      <w:bookmarkEnd w:id="14"/>
      <w:bookmarkEnd w:id="15"/>
      <w:bookmarkEnd w:id="16"/>
      <w:tr>
        <w:tblPrEx>
          <w:tblCellMar>
            <w:top w:w="0" w:type="dxa"/>
            <w:left w:w="108" w:type="dxa"/>
            <w:bottom w:w="0" w:type="dxa"/>
            <w:right w:w="108" w:type="dxa"/>
          </w:tblCellMar>
        </w:tblPrEx>
        <w:trPr>
          <w:trHeight w:val="90" w:hRule="atLeast"/>
        </w:trPr>
        <w:tc>
          <w:tcPr>
            <w:tcW w:w="1154" w:type="dxa"/>
            <w:tcBorders>
              <w:top w:val="nil"/>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合计</w:t>
            </w:r>
          </w:p>
        </w:tc>
        <w:tc>
          <w:tcPr>
            <w:tcW w:w="1068"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298</w:t>
            </w:r>
          </w:p>
        </w:tc>
        <w:tc>
          <w:tcPr>
            <w:tcW w:w="1247"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54.18</w:t>
            </w:r>
          </w:p>
        </w:tc>
        <w:tc>
          <w:tcPr>
            <w:tcW w:w="222"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906"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0"/>
                <w:szCs w:val="20"/>
              </w:rPr>
            </w:pPr>
            <w:r>
              <w:rPr>
                <w:rFonts w:cs="Arial" w:asciiTheme="minorEastAsia" w:hAnsiTheme="minorEastAsia" w:eastAsiaTheme="minorEastAsia"/>
                <w:color w:val="000000"/>
                <w:sz w:val="20"/>
                <w:szCs w:val="20"/>
              </w:rPr>
              <w:t>340</w:t>
            </w:r>
          </w:p>
        </w:tc>
        <w:tc>
          <w:tcPr>
            <w:tcW w:w="1305"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46.83</w:t>
            </w:r>
          </w:p>
        </w:tc>
        <w:tc>
          <w:tcPr>
            <w:tcW w:w="222"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0"/>
                <w:szCs w:val="20"/>
              </w:rPr>
            </w:pPr>
          </w:p>
        </w:tc>
        <w:tc>
          <w:tcPr>
            <w:tcW w:w="1097" w:type="dxa"/>
            <w:tcBorders>
              <w:top w:val="nil"/>
              <w:left w:val="nil"/>
              <w:bottom w:val="single" w:color="auto" w:sz="8" w:space="0"/>
              <w:right w:val="nil"/>
            </w:tcBorders>
            <w:noWrap/>
            <w:vAlign w:val="center"/>
          </w:tcPr>
          <w:p>
            <w:pPr>
              <w:spacing w:line="360" w:lineRule="auto"/>
              <w:jc w:val="center"/>
              <w:rPr>
                <w:rFonts w:cs="宋体" w:asciiTheme="minorEastAsia" w:hAnsiTheme="minorEastAsia" w:eastAsiaTheme="minorEastAsia"/>
                <w:b/>
                <w:bCs/>
                <w:color w:val="000000" w:themeColor="text1"/>
                <w:sz w:val="20"/>
                <w:szCs w:val="20"/>
              </w:rPr>
            </w:pPr>
            <w:r>
              <w:rPr>
                <w:rFonts w:hint="eastAsia" w:asciiTheme="minorEastAsia" w:hAnsiTheme="minorEastAsia" w:eastAsiaTheme="minorEastAsia"/>
                <w:b/>
                <w:bCs/>
                <w:color w:val="000000" w:themeColor="text1"/>
                <w:sz w:val="20"/>
                <w:szCs w:val="20"/>
              </w:rPr>
              <w:t>638</w:t>
            </w:r>
          </w:p>
        </w:tc>
        <w:tc>
          <w:tcPr>
            <w:tcW w:w="1298"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50.00</w:t>
            </w:r>
          </w:p>
        </w:tc>
      </w:tr>
      <w:bookmarkEnd w:id="17"/>
      <w:bookmarkEnd w:id="18"/>
      <w:bookmarkEnd w:id="19"/>
    </w:tbl>
    <w:p>
      <w:pPr>
        <w:spacing w:beforeLines="50" w:afterLines="50" w:line="360" w:lineRule="auto"/>
        <w:ind w:firstLine="440" w:firstLineChars="200"/>
        <w:rPr>
          <w:rFonts w:ascii="Calibri" w:hAnsi="Calibri" w:eastAsia="宋体" w:cs="Times New Roman"/>
        </w:rPr>
      </w:pPr>
    </w:p>
    <w:p>
      <w:pPr>
        <w:spacing w:beforeLines="50" w:afterLines="50" w:line="360" w:lineRule="auto"/>
        <w:ind w:firstLine="440" w:firstLineChars="200"/>
        <w:rPr>
          <w:rFonts w:ascii="Calibri" w:hAnsi="Calibri" w:eastAsia="宋体" w:cs="Times New Roman"/>
        </w:rPr>
      </w:pPr>
      <w:r>
        <w:rPr>
          <w:rFonts w:ascii="Calibri" w:hAnsi="Calibri" w:eastAsia="宋体" w:cs="Times New Roman"/>
        </w:rPr>
        <w:drawing>
          <wp:inline distT="0" distB="0" distL="0" distR="0">
            <wp:extent cx="5238750" cy="2752725"/>
            <wp:effectExtent l="19050" t="0" r="19050" b="0"/>
            <wp:docPr id="14"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spacing w:beforeLines="50" w:afterLines="50" w:line="360" w:lineRule="auto"/>
        <w:ind w:firstLine="440" w:firstLineChars="200"/>
        <w:jc w:val="center"/>
        <w:rPr>
          <w:rFonts w:cs="Times New Roman" w:asciiTheme="minorEastAsia" w:hAnsiTheme="minorEastAsia" w:eastAsiaTheme="minorEastAsia"/>
        </w:rPr>
      </w:pPr>
      <w:r>
        <w:rPr>
          <w:rFonts w:hint="eastAsia" w:cs="Times New Roman" w:asciiTheme="minorEastAsia" w:hAnsiTheme="minorEastAsia" w:eastAsiaTheme="minorEastAsia"/>
        </w:rPr>
        <w:t>图</w:t>
      </w:r>
      <w:r>
        <w:rPr>
          <w:rFonts w:cs="Times New Roman" w:asciiTheme="minorEastAsia" w:hAnsiTheme="minorEastAsia" w:eastAsiaTheme="minorEastAsia"/>
        </w:rPr>
        <w:t>19</w:t>
      </w:r>
      <w:r>
        <w:rPr>
          <w:rFonts w:hint="eastAsia" w:cs="Times New Roman" w:asciiTheme="minorEastAsia" w:hAnsiTheme="minorEastAsia" w:eastAsiaTheme="minorEastAsia"/>
        </w:rPr>
        <w:t xml:space="preserve">   调查对象分年龄组高血压患病率（%）</w:t>
      </w:r>
    </w:p>
    <w:p>
      <w:pPr>
        <w:spacing w:beforeLines="50" w:afterLines="50" w:line="360" w:lineRule="auto"/>
        <w:ind w:firstLine="482" w:firstLineChars="200"/>
        <w:rPr>
          <w:rFonts w:cs="Times New Roman" w:asciiTheme="minorEastAsia" w:hAnsiTheme="minorEastAsia" w:eastAsiaTheme="minorEastAsia"/>
          <w:b/>
          <w:sz w:val="24"/>
          <w:szCs w:val="24"/>
        </w:rPr>
      </w:pPr>
      <w:r>
        <w:rPr>
          <w:rFonts w:hint="eastAsia" w:asciiTheme="minorEastAsia" w:hAnsiTheme="minorEastAsia" w:eastAsiaTheme="minorEastAsia"/>
          <w:b/>
          <w:sz w:val="24"/>
          <w:szCs w:val="24"/>
        </w:rPr>
        <w:t>4.2</w:t>
      </w:r>
      <w:r>
        <w:rPr>
          <w:rFonts w:hint="eastAsia" w:cs="Times New Roman" w:asciiTheme="minorEastAsia" w:hAnsiTheme="minorEastAsia" w:eastAsiaTheme="minorEastAsia"/>
          <w:b/>
          <w:sz w:val="24"/>
          <w:szCs w:val="24"/>
        </w:rPr>
        <w:t>血压高值患病率</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次调查发现，血压高值者366人，血压高值患病率为28.68%（366/1276），男性人群血压高值患病率为31.45%（173/550），女性人群血压高值患病率为26.58%（193/726）。男性人群血压高值患病率高于女性人群血压高值患病率。经全省2010年人口调整后，血压高值标化患病率为33.82%，男性血压高值标化患病率为38.15%，女性血压高值标化患病率为29.30%。见图</w:t>
      </w:r>
      <w:r>
        <w:rPr>
          <w:rFonts w:cs="Times New Roman" w:asciiTheme="minorEastAsia" w:hAnsiTheme="minorEastAsia" w:eastAsiaTheme="minorEastAsia"/>
          <w:sz w:val="24"/>
          <w:szCs w:val="24"/>
        </w:rPr>
        <w:t>20</w:t>
      </w:r>
      <w:r>
        <w:rPr>
          <w:rFonts w:hint="eastAsia" w:cs="Times New Roman" w:asciiTheme="minorEastAsia" w:hAnsiTheme="minorEastAsia" w:eastAsiaTheme="minorEastAsia"/>
          <w:sz w:val="24"/>
          <w:szCs w:val="24"/>
        </w:rPr>
        <w:t>.</w:t>
      </w:r>
    </w:p>
    <w:p>
      <w:pPr>
        <w:spacing w:beforeLines="50" w:afterLines="50" w:line="360" w:lineRule="auto"/>
        <w:ind w:firstLine="440" w:firstLineChars="200"/>
        <w:rPr>
          <w:rFonts w:ascii="Calibri" w:hAnsi="Calibri" w:eastAsia="宋体" w:cs="Times New Roman"/>
        </w:rPr>
      </w:pPr>
      <w:r>
        <w:rPr>
          <w:rFonts w:ascii="Calibri" w:hAnsi="Calibri" w:eastAsia="宋体" w:cs="Times New Roman"/>
        </w:rPr>
        <w:drawing>
          <wp:inline distT="0" distB="0" distL="0" distR="0">
            <wp:extent cx="5274310" cy="2160270"/>
            <wp:effectExtent l="19050" t="0" r="21590" b="0"/>
            <wp:docPr id="15"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spacing w:beforeLines="50" w:afterLines="50" w:line="360" w:lineRule="auto"/>
        <w:ind w:firstLine="440" w:firstLineChars="200"/>
        <w:jc w:val="center"/>
        <w:rPr>
          <w:rFonts w:cs="Times New Roman" w:asciiTheme="minorEastAsia" w:hAnsiTheme="minorEastAsia" w:eastAsiaTheme="minorEastAsia"/>
        </w:rPr>
      </w:pPr>
      <w:r>
        <w:rPr>
          <w:rFonts w:hint="eastAsia" w:cs="Times New Roman" w:asciiTheme="minorEastAsia" w:hAnsiTheme="minorEastAsia" w:eastAsiaTheme="minorEastAsia"/>
        </w:rPr>
        <w:t>图</w:t>
      </w:r>
      <w:r>
        <w:rPr>
          <w:rFonts w:cs="Times New Roman" w:asciiTheme="minorEastAsia" w:hAnsiTheme="minorEastAsia" w:eastAsiaTheme="minorEastAsia"/>
        </w:rPr>
        <w:t>20</w:t>
      </w:r>
      <w:r>
        <w:rPr>
          <w:rFonts w:hint="eastAsia" w:cs="Times New Roman" w:asciiTheme="minorEastAsia" w:hAnsiTheme="minorEastAsia" w:eastAsiaTheme="minorEastAsia"/>
        </w:rPr>
        <w:t xml:space="preserve">   调查对象分年龄组血压高值患病率（%）</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4.3既往高血压患者服药情况</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449名既往高血压患者中，采取药物治疗措施的有84.86%（381/449），男、女性既往诊断高血压患者采取药物治疗措施分别的有84.88%（174/205）、84.84%（207/244）。381名采取药物治疗措施的既往高血压患者中，近半年来规律服药的占80.05%，不规律服药的占18.37%，不服药的占1.57%；近两周规律服用降压药物的占82.15%，不规律服药的占17.85%。见表8.</w:t>
      </w:r>
    </w:p>
    <w:p>
      <w:pPr>
        <w:spacing w:line="360" w:lineRule="auto"/>
        <w:jc w:val="center"/>
        <w:rPr>
          <w:rFonts w:cs="Times New Roman" w:asciiTheme="minorEastAsia" w:hAnsiTheme="minorEastAsia" w:eastAsiaTheme="minorEastAsia"/>
          <w:color w:val="000000"/>
        </w:rPr>
      </w:pPr>
      <w:r>
        <w:rPr>
          <w:rFonts w:hint="eastAsia" w:cs="Times New Roman" w:asciiTheme="minorEastAsia" w:hAnsiTheme="minorEastAsia" w:eastAsiaTheme="minorEastAsia"/>
          <w:color w:val="000000"/>
        </w:rPr>
        <w:t>表8   既往高血压患者的服药情况</w:t>
      </w:r>
    </w:p>
    <w:tbl>
      <w:tblPr>
        <w:tblStyle w:val="11"/>
        <w:tblW w:w="8703" w:type="dxa"/>
        <w:jc w:val="center"/>
        <w:tblLayout w:type="fixed"/>
        <w:tblCellMar>
          <w:top w:w="0" w:type="dxa"/>
          <w:left w:w="108" w:type="dxa"/>
          <w:bottom w:w="0" w:type="dxa"/>
          <w:right w:w="108" w:type="dxa"/>
        </w:tblCellMar>
      </w:tblPr>
      <w:tblGrid>
        <w:gridCol w:w="1215"/>
        <w:gridCol w:w="1381"/>
        <w:gridCol w:w="716"/>
        <w:gridCol w:w="945"/>
        <w:gridCol w:w="236"/>
        <w:gridCol w:w="931"/>
        <w:gridCol w:w="945"/>
        <w:gridCol w:w="236"/>
        <w:gridCol w:w="917"/>
        <w:gridCol w:w="945"/>
        <w:gridCol w:w="236"/>
      </w:tblGrid>
      <w:tr>
        <w:tblPrEx>
          <w:tblCellMar>
            <w:top w:w="0" w:type="dxa"/>
            <w:left w:w="108" w:type="dxa"/>
            <w:bottom w:w="0" w:type="dxa"/>
            <w:right w:w="108" w:type="dxa"/>
          </w:tblCellMar>
        </w:tblPrEx>
        <w:trPr>
          <w:gridAfter w:val="1"/>
          <w:wAfter w:w="222" w:type="dxa"/>
          <w:trHeight w:val="23" w:hRule="atLeast"/>
          <w:jc w:val="center"/>
        </w:trPr>
        <w:tc>
          <w:tcPr>
            <w:tcW w:w="2609" w:type="dxa"/>
            <w:gridSpan w:val="2"/>
            <w:vMerge w:val="restart"/>
            <w:tcBorders>
              <w:top w:val="single" w:color="auto" w:sz="4" w:space="0"/>
              <w:left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药物治疗</w:t>
            </w:r>
          </w:p>
        </w:tc>
        <w:tc>
          <w:tcPr>
            <w:tcW w:w="1669" w:type="dxa"/>
            <w:gridSpan w:val="2"/>
            <w:tcBorders>
              <w:top w:val="single" w:color="auto" w:sz="4" w:space="0"/>
              <w:left w:val="nil"/>
              <w:bottom w:val="single" w:color="auto" w:sz="4" w:space="0"/>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男性</w:t>
            </w:r>
          </w:p>
        </w:tc>
        <w:tc>
          <w:tcPr>
            <w:tcW w:w="223" w:type="dxa"/>
            <w:tcBorders>
              <w:top w:val="single" w:color="auto" w:sz="4" w:space="0"/>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p>
        </w:tc>
        <w:tc>
          <w:tcPr>
            <w:tcW w:w="1886" w:type="dxa"/>
            <w:gridSpan w:val="2"/>
            <w:tcBorders>
              <w:top w:val="single" w:color="auto" w:sz="4" w:space="0"/>
              <w:left w:val="nil"/>
              <w:bottom w:val="single" w:color="auto" w:sz="4" w:space="0"/>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女性</w:t>
            </w:r>
          </w:p>
        </w:tc>
        <w:tc>
          <w:tcPr>
            <w:tcW w:w="223" w:type="dxa"/>
            <w:tcBorders>
              <w:top w:val="single" w:color="auto" w:sz="4" w:space="0"/>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p>
        </w:tc>
        <w:tc>
          <w:tcPr>
            <w:tcW w:w="1871" w:type="dxa"/>
            <w:gridSpan w:val="2"/>
            <w:tcBorders>
              <w:top w:val="single" w:color="auto" w:sz="4" w:space="0"/>
              <w:left w:val="nil"/>
              <w:bottom w:val="single" w:color="auto" w:sz="4" w:space="0"/>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gridAfter w:val="1"/>
          <w:wAfter w:w="222" w:type="dxa"/>
          <w:trHeight w:val="23" w:hRule="atLeast"/>
          <w:jc w:val="center"/>
        </w:trPr>
        <w:tc>
          <w:tcPr>
            <w:tcW w:w="2609" w:type="dxa"/>
            <w:gridSpan w:val="2"/>
            <w:vMerge w:val="continue"/>
            <w:tcBorders>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p>
        </w:tc>
        <w:tc>
          <w:tcPr>
            <w:tcW w:w="719"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例数</w:t>
            </w:r>
          </w:p>
        </w:tc>
        <w:tc>
          <w:tcPr>
            <w:tcW w:w="950"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构成比</w:t>
            </w:r>
          </w:p>
        </w:tc>
        <w:tc>
          <w:tcPr>
            <w:tcW w:w="223"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p>
        </w:tc>
        <w:tc>
          <w:tcPr>
            <w:tcW w:w="936"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例数</w:t>
            </w:r>
          </w:p>
        </w:tc>
        <w:tc>
          <w:tcPr>
            <w:tcW w:w="950"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构成比</w:t>
            </w:r>
          </w:p>
        </w:tc>
        <w:tc>
          <w:tcPr>
            <w:tcW w:w="223"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p>
        </w:tc>
        <w:tc>
          <w:tcPr>
            <w:tcW w:w="921"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例数</w:t>
            </w:r>
          </w:p>
        </w:tc>
        <w:tc>
          <w:tcPr>
            <w:tcW w:w="950" w:type="dxa"/>
            <w:tcBorders>
              <w:top w:val="nil"/>
              <w:left w:val="nil"/>
              <w:bottom w:val="nil"/>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构成比</w:t>
            </w:r>
          </w:p>
        </w:tc>
      </w:tr>
      <w:tr>
        <w:tblPrEx>
          <w:tblCellMar>
            <w:top w:w="0" w:type="dxa"/>
            <w:left w:w="108" w:type="dxa"/>
            <w:bottom w:w="0" w:type="dxa"/>
            <w:right w:w="108" w:type="dxa"/>
          </w:tblCellMar>
        </w:tblPrEx>
        <w:trPr>
          <w:gridAfter w:val="1"/>
          <w:wAfter w:w="222" w:type="dxa"/>
          <w:trHeight w:val="23" w:hRule="atLeast"/>
          <w:jc w:val="center"/>
        </w:trPr>
        <w:tc>
          <w:tcPr>
            <w:tcW w:w="1220" w:type="dxa"/>
            <w:vMerge w:val="restart"/>
            <w:tcBorders>
              <w:top w:val="single" w:color="auto" w:sz="4" w:space="0"/>
              <w:left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近半年</w:t>
            </w:r>
          </w:p>
        </w:tc>
        <w:tc>
          <w:tcPr>
            <w:tcW w:w="1389" w:type="dxa"/>
            <w:tcBorders>
              <w:top w:val="single" w:color="auto" w:sz="4" w:space="0"/>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规律服用</w:t>
            </w:r>
          </w:p>
        </w:tc>
        <w:tc>
          <w:tcPr>
            <w:tcW w:w="719"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145</w:t>
            </w:r>
          </w:p>
        </w:tc>
        <w:tc>
          <w:tcPr>
            <w:tcW w:w="950"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83.33</w:t>
            </w:r>
          </w:p>
        </w:tc>
        <w:tc>
          <w:tcPr>
            <w:tcW w:w="223" w:type="dxa"/>
            <w:tcBorders>
              <w:top w:val="single" w:color="auto" w:sz="4" w:space="0"/>
              <w:left w:val="nil"/>
              <w:bottom w:val="nil"/>
              <w:right w:val="nil"/>
            </w:tcBorders>
            <w:vAlign w:val="bottom"/>
          </w:tcPr>
          <w:p>
            <w:pPr>
              <w:spacing w:line="360" w:lineRule="auto"/>
              <w:jc w:val="center"/>
              <w:rPr>
                <w:rFonts w:cs="Calibri" w:asciiTheme="minorEastAsia" w:hAnsiTheme="minorEastAsia" w:eastAsiaTheme="minorEastAsia"/>
                <w:color w:val="000000"/>
                <w:sz w:val="21"/>
                <w:szCs w:val="21"/>
              </w:rPr>
            </w:pPr>
          </w:p>
        </w:tc>
        <w:tc>
          <w:tcPr>
            <w:tcW w:w="936"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160</w:t>
            </w:r>
          </w:p>
        </w:tc>
        <w:tc>
          <w:tcPr>
            <w:tcW w:w="950"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77.29</w:t>
            </w:r>
          </w:p>
        </w:tc>
        <w:tc>
          <w:tcPr>
            <w:tcW w:w="223" w:type="dxa"/>
            <w:tcBorders>
              <w:top w:val="single" w:color="auto" w:sz="4" w:space="0"/>
              <w:left w:val="nil"/>
              <w:bottom w:val="nil"/>
              <w:right w:val="nil"/>
            </w:tcBorders>
            <w:vAlign w:val="bottom"/>
          </w:tcPr>
          <w:p>
            <w:pPr>
              <w:spacing w:line="360" w:lineRule="auto"/>
              <w:jc w:val="center"/>
              <w:rPr>
                <w:rFonts w:cs="Calibri" w:asciiTheme="minorEastAsia" w:hAnsiTheme="minorEastAsia" w:eastAsiaTheme="minorEastAsia"/>
                <w:color w:val="000000"/>
                <w:sz w:val="21"/>
                <w:szCs w:val="21"/>
              </w:rPr>
            </w:pPr>
          </w:p>
        </w:tc>
        <w:tc>
          <w:tcPr>
            <w:tcW w:w="921"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bCs/>
                <w:color w:val="000000"/>
                <w:sz w:val="21"/>
                <w:szCs w:val="21"/>
              </w:rPr>
            </w:pPr>
            <w:r>
              <w:rPr>
                <w:rFonts w:cs="Arial" w:asciiTheme="minorEastAsia" w:hAnsiTheme="minorEastAsia" w:eastAsiaTheme="minorEastAsia"/>
                <w:bCs/>
                <w:color w:val="000000"/>
                <w:sz w:val="21"/>
                <w:szCs w:val="21"/>
              </w:rPr>
              <w:t>305</w:t>
            </w:r>
          </w:p>
        </w:tc>
        <w:tc>
          <w:tcPr>
            <w:tcW w:w="950" w:type="dxa"/>
            <w:tcBorders>
              <w:top w:val="single" w:color="auto" w:sz="4" w:space="0"/>
              <w:left w:val="nil"/>
              <w:bottom w:val="nil"/>
              <w:right w:val="nil"/>
            </w:tcBorders>
          </w:tcPr>
          <w:p>
            <w:pPr>
              <w:spacing w:line="360" w:lineRule="auto"/>
              <w:jc w:val="center"/>
              <w:rPr>
                <w:rFonts w:cs="Arial" w:asciiTheme="minorEastAsia" w:hAnsiTheme="minorEastAsia" w:eastAsiaTheme="minorEastAsia"/>
                <w:bCs/>
                <w:color w:val="000000"/>
                <w:sz w:val="21"/>
                <w:szCs w:val="21"/>
              </w:rPr>
            </w:pPr>
            <w:r>
              <w:rPr>
                <w:rFonts w:cs="Arial" w:asciiTheme="minorEastAsia" w:hAnsiTheme="minorEastAsia" w:eastAsiaTheme="minorEastAsia"/>
                <w:bCs/>
                <w:color w:val="000000"/>
                <w:sz w:val="21"/>
                <w:szCs w:val="21"/>
              </w:rPr>
              <w:t>80.05</w:t>
            </w:r>
          </w:p>
        </w:tc>
      </w:tr>
      <w:tr>
        <w:tblPrEx>
          <w:tblCellMar>
            <w:top w:w="0" w:type="dxa"/>
            <w:left w:w="108" w:type="dxa"/>
            <w:bottom w:w="0" w:type="dxa"/>
            <w:right w:w="108" w:type="dxa"/>
          </w:tblCellMar>
        </w:tblPrEx>
        <w:trPr>
          <w:gridAfter w:val="1"/>
          <w:wAfter w:w="222" w:type="dxa"/>
          <w:trHeight w:val="90" w:hRule="atLeast"/>
          <w:jc w:val="center"/>
        </w:trPr>
        <w:tc>
          <w:tcPr>
            <w:tcW w:w="1220" w:type="dxa"/>
            <w:vMerge w:val="continue"/>
            <w:tcBorders>
              <w:left w:val="nil"/>
              <w:right w:val="nil"/>
            </w:tcBorders>
          </w:tcPr>
          <w:p>
            <w:pPr>
              <w:spacing w:line="360" w:lineRule="auto"/>
              <w:jc w:val="center"/>
              <w:rPr>
                <w:rFonts w:cs="Times New Roman" w:asciiTheme="minorEastAsia" w:hAnsiTheme="minorEastAsia" w:eastAsiaTheme="minorEastAsia"/>
                <w:color w:val="000000"/>
                <w:sz w:val="21"/>
                <w:szCs w:val="21"/>
              </w:rPr>
            </w:pPr>
          </w:p>
        </w:tc>
        <w:tc>
          <w:tcPr>
            <w:tcW w:w="1389" w:type="dxa"/>
            <w:tcBorders>
              <w:top w:val="nil"/>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不规律服用</w:t>
            </w:r>
          </w:p>
        </w:tc>
        <w:tc>
          <w:tcPr>
            <w:tcW w:w="719"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26</w:t>
            </w:r>
          </w:p>
        </w:tc>
        <w:tc>
          <w:tcPr>
            <w:tcW w:w="950"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14.94</w:t>
            </w:r>
          </w:p>
        </w:tc>
        <w:tc>
          <w:tcPr>
            <w:tcW w:w="223" w:type="dxa"/>
            <w:tcBorders>
              <w:top w:val="nil"/>
              <w:left w:val="nil"/>
              <w:bottom w:val="nil"/>
              <w:right w:val="nil"/>
            </w:tcBorders>
            <w:vAlign w:val="bottom"/>
          </w:tcPr>
          <w:p>
            <w:pPr>
              <w:spacing w:line="360" w:lineRule="auto"/>
              <w:jc w:val="center"/>
              <w:rPr>
                <w:rFonts w:cs="Calibri" w:asciiTheme="minorEastAsia" w:hAnsiTheme="minorEastAsia" w:eastAsiaTheme="minorEastAsia"/>
                <w:color w:val="000000"/>
                <w:sz w:val="21"/>
                <w:szCs w:val="21"/>
              </w:rPr>
            </w:pPr>
          </w:p>
        </w:tc>
        <w:tc>
          <w:tcPr>
            <w:tcW w:w="93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44</w:t>
            </w:r>
          </w:p>
        </w:tc>
        <w:tc>
          <w:tcPr>
            <w:tcW w:w="950"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21.26</w:t>
            </w:r>
          </w:p>
        </w:tc>
        <w:tc>
          <w:tcPr>
            <w:tcW w:w="223" w:type="dxa"/>
            <w:tcBorders>
              <w:top w:val="nil"/>
              <w:left w:val="nil"/>
              <w:bottom w:val="nil"/>
              <w:right w:val="nil"/>
            </w:tcBorders>
            <w:vAlign w:val="bottom"/>
          </w:tcPr>
          <w:p>
            <w:pPr>
              <w:spacing w:line="360" w:lineRule="auto"/>
              <w:jc w:val="center"/>
              <w:rPr>
                <w:rFonts w:cs="Calibri" w:asciiTheme="minorEastAsia" w:hAnsiTheme="minorEastAsia" w:eastAsiaTheme="minorEastAsia"/>
                <w:color w:val="000000"/>
                <w:sz w:val="21"/>
                <w:szCs w:val="21"/>
              </w:rPr>
            </w:pPr>
          </w:p>
        </w:tc>
        <w:tc>
          <w:tcPr>
            <w:tcW w:w="921" w:type="dxa"/>
            <w:tcBorders>
              <w:top w:val="nil"/>
              <w:left w:val="nil"/>
              <w:bottom w:val="nil"/>
              <w:right w:val="nil"/>
            </w:tcBorders>
            <w:noWrap/>
          </w:tcPr>
          <w:p>
            <w:pPr>
              <w:spacing w:line="360" w:lineRule="auto"/>
              <w:jc w:val="center"/>
              <w:rPr>
                <w:rFonts w:cs="Arial" w:asciiTheme="minorEastAsia" w:hAnsiTheme="minorEastAsia" w:eastAsiaTheme="minorEastAsia"/>
                <w:bCs/>
                <w:color w:val="000000"/>
                <w:sz w:val="21"/>
                <w:szCs w:val="21"/>
              </w:rPr>
            </w:pPr>
            <w:r>
              <w:rPr>
                <w:rFonts w:cs="Arial" w:asciiTheme="minorEastAsia" w:hAnsiTheme="minorEastAsia" w:eastAsiaTheme="minorEastAsia"/>
                <w:bCs/>
                <w:color w:val="000000"/>
                <w:sz w:val="21"/>
                <w:szCs w:val="21"/>
              </w:rPr>
              <w:t>70</w:t>
            </w:r>
          </w:p>
        </w:tc>
        <w:tc>
          <w:tcPr>
            <w:tcW w:w="950" w:type="dxa"/>
            <w:tcBorders>
              <w:top w:val="nil"/>
              <w:left w:val="nil"/>
              <w:bottom w:val="nil"/>
              <w:right w:val="nil"/>
            </w:tcBorders>
          </w:tcPr>
          <w:p>
            <w:pPr>
              <w:spacing w:line="360" w:lineRule="auto"/>
              <w:jc w:val="center"/>
              <w:rPr>
                <w:rFonts w:cs="Arial" w:asciiTheme="minorEastAsia" w:hAnsiTheme="minorEastAsia" w:eastAsiaTheme="minorEastAsia"/>
                <w:bCs/>
                <w:color w:val="000000"/>
                <w:sz w:val="21"/>
                <w:szCs w:val="21"/>
              </w:rPr>
            </w:pPr>
            <w:r>
              <w:rPr>
                <w:rFonts w:cs="Arial" w:asciiTheme="minorEastAsia" w:hAnsiTheme="minorEastAsia" w:eastAsiaTheme="minorEastAsia"/>
                <w:bCs/>
                <w:color w:val="000000"/>
                <w:sz w:val="21"/>
                <w:szCs w:val="21"/>
              </w:rPr>
              <w:t>18.37</w:t>
            </w:r>
          </w:p>
        </w:tc>
      </w:tr>
      <w:tr>
        <w:tblPrEx>
          <w:tblCellMar>
            <w:top w:w="0" w:type="dxa"/>
            <w:left w:w="108" w:type="dxa"/>
            <w:bottom w:w="0" w:type="dxa"/>
            <w:right w:w="108" w:type="dxa"/>
          </w:tblCellMar>
        </w:tblPrEx>
        <w:trPr>
          <w:gridAfter w:val="1"/>
          <w:wAfter w:w="222" w:type="dxa"/>
          <w:trHeight w:val="23" w:hRule="atLeast"/>
          <w:jc w:val="center"/>
        </w:trPr>
        <w:tc>
          <w:tcPr>
            <w:tcW w:w="1220" w:type="dxa"/>
            <w:vMerge w:val="continue"/>
            <w:tcBorders>
              <w:left w:val="nil"/>
              <w:right w:val="nil"/>
            </w:tcBorders>
          </w:tcPr>
          <w:p>
            <w:pPr>
              <w:spacing w:line="360" w:lineRule="auto"/>
              <w:jc w:val="center"/>
              <w:rPr>
                <w:rFonts w:cs="Times New Roman" w:asciiTheme="minorEastAsia" w:hAnsiTheme="minorEastAsia" w:eastAsiaTheme="minorEastAsia"/>
                <w:color w:val="000000"/>
                <w:sz w:val="21"/>
                <w:szCs w:val="21"/>
              </w:rPr>
            </w:pPr>
          </w:p>
        </w:tc>
        <w:tc>
          <w:tcPr>
            <w:tcW w:w="1389" w:type="dxa"/>
            <w:tcBorders>
              <w:top w:val="nil"/>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不服用</w:t>
            </w:r>
          </w:p>
        </w:tc>
        <w:tc>
          <w:tcPr>
            <w:tcW w:w="719"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950"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1.72</w:t>
            </w:r>
          </w:p>
        </w:tc>
        <w:tc>
          <w:tcPr>
            <w:tcW w:w="223" w:type="dxa"/>
            <w:tcBorders>
              <w:top w:val="nil"/>
              <w:left w:val="nil"/>
              <w:bottom w:val="nil"/>
              <w:right w:val="nil"/>
            </w:tcBorders>
            <w:vAlign w:val="bottom"/>
          </w:tcPr>
          <w:p>
            <w:pPr>
              <w:spacing w:line="360" w:lineRule="auto"/>
              <w:jc w:val="center"/>
              <w:rPr>
                <w:rFonts w:cs="Calibri" w:asciiTheme="minorEastAsia" w:hAnsiTheme="minorEastAsia" w:eastAsiaTheme="minorEastAsia"/>
                <w:color w:val="000000"/>
                <w:sz w:val="21"/>
                <w:szCs w:val="21"/>
              </w:rPr>
            </w:pPr>
          </w:p>
        </w:tc>
        <w:tc>
          <w:tcPr>
            <w:tcW w:w="93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950"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1.45</w:t>
            </w:r>
          </w:p>
        </w:tc>
        <w:tc>
          <w:tcPr>
            <w:tcW w:w="223" w:type="dxa"/>
            <w:tcBorders>
              <w:top w:val="nil"/>
              <w:left w:val="nil"/>
              <w:bottom w:val="nil"/>
              <w:right w:val="nil"/>
            </w:tcBorders>
            <w:vAlign w:val="bottom"/>
          </w:tcPr>
          <w:p>
            <w:pPr>
              <w:spacing w:line="360" w:lineRule="auto"/>
              <w:jc w:val="center"/>
              <w:rPr>
                <w:rFonts w:cs="Calibri" w:asciiTheme="minorEastAsia" w:hAnsiTheme="minorEastAsia" w:eastAsiaTheme="minorEastAsia"/>
                <w:color w:val="000000"/>
                <w:sz w:val="21"/>
                <w:szCs w:val="21"/>
              </w:rPr>
            </w:pPr>
          </w:p>
        </w:tc>
        <w:tc>
          <w:tcPr>
            <w:tcW w:w="921" w:type="dxa"/>
            <w:tcBorders>
              <w:top w:val="nil"/>
              <w:left w:val="nil"/>
              <w:bottom w:val="nil"/>
              <w:right w:val="nil"/>
            </w:tcBorders>
            <w:noWrap/>
          </w:tcPr>
          <w:p>
            <w:pPr>
              <w:spacing w:line="360" w:lineRule="auto"/>
              <w:jc w:val="center"/>
              <w:rPr>
                <w:rFonts w:cs="Arial" w:asciiTheme="minorEastAsia" w:hAnsiTheme="minorEastAsia" w:eastAsiaTheme="minorEastAsia"/>
                <w:bCs/>
                <w:color w:val="000000"/>
                <w:sz w:val="21"/>
                <w:szCs w:val="21"/>
              </w:rPr>
            </w:pPr>
            <w:r>
              <w:rPr>
                <w:rFonts w:cs="Arial" w:asciiTheme="minorEastAsia" w:hAnsiTheme="minorEastAsia" w:eastAsiaTheme="minorEastAsia"/>
                <w:bCs/>
                <w:color w:val="000000"/>
                <w:sz w:val="21"/>
                <w:szCs w:val="21"/>
              </w:rPr>
              <w:t>6</w:t>
            </w:r>
          </w:p>
        </w:tc>
        <w:tc>
          <w:tcPr>
            <w:tcW w:w="950" w:type="dxa"/>
            <w:tcBorders>
              <w:top w:val="nil"/>
              <w:left w:val="nil"/>
              <w:bottom w:val="nil"/>
              <w:right w:val="nil"/>
            </w:tcBorders>
          </w:tcPr>
          <w:p>
            <w:pPr>
              <w:spacing w:line="360" w:lineRule="auto"/>
              <w:jc w:val="center"/>
              <w:rPr>
                <w:rFonts w:cs="Arial" w:asciiTheme="minorEastAsia" w:hAnsiTheme="minorEastAsia" w:eastAsiaTheme="minorEastAsia"/>
                <w:bCs/>
                <w:color w:val="000000"/>
                <w:sz w:val="21"/>
                <w:szCs w:val="21"/>
              </w:rPr>
            </w:pPr>
            <w:r>
              <w:rPr>
                <w:rFonts w:cs="Arial" w:asciiTheme="minorEastAsia" w:hAnsiTheme="minorEastAsia" w:eastAsiaTheme="minorEastAsia"/>
                <w:bCs/>
                <w:color w:val="000000"/>
                <w:sz w:val="21"/>
                <w:szCs w:val="21"/>
              </w:rPr>
              <w:t>1.57</w:t>
            </w:r>
          </w:p>
        </w:tc>
      </w:tr>
      <w:tr>
        <w:tblPrEx>
          <w:tblCellMar>
            <w:top w:w="0" w:type="dxa"/>
            <w:left w:w="108" w:type="dxa"/>
            <w:bottom w:w="0" w:type="dxa"/>
            <w:right w:w="108" w:type="dxa"/>
          </w:tblCellMar>
        </w:tblPrEx>
        <w:trPr>
          <w:trHeight w:val="23" w:hRule="atLeast"/>
          <w:jc w:val="center"/>
        </w:trPr>
        <w:tc>
          <w:tcPr>
            <w:tcW w:w="1220" w:type="dxa"/>
            <w:vMerge w:val="continue"/>
            <w:tcBorders>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p>
        </w:tc>
        <w:tc>
          <w:tcPr>
            <w:tcW w:w="1389" w:type="dxa"/>
            <w:tcBorders>
              <w:top w:val="nil"/>
              <w:left w:val="nil"/>
              <w:bottom w:val="single" w:color="auto" w:sz="4" w:space="0"/>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合计</w:t>
            </w:r>
          </w:p>
        </w:tc>
        <w:tc>
          <w:tcPr>
            <w:tcW w:w="719"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174</w:t>
            </w:r>
          </w:p>
        </w:tc>
        <w:tc>
          <w:tcPr>
            <w:tcW w:w="950"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3" w:type="dxa"/>
            <w:tcBorders>
              <w:top w:val="nil"/>
              <w:left w:val="nil"/>
              <w:bottom w:val="single" w:color="auto" w:sz="4" w:space="0"/>
              <w:right w:val="nil"/>
            </w:tcBorders>
            <w:vAlign w:val="bottom"/>
          </w:tcPr>
          <w:p>
            <w:pPr>
              <w:spacing w:line="360" w:lineRule="auto"/>
              <w:jc w:val="center"/>
              <w:rPr>
                <w:rFonts w:cs="Calibri" w:asciiTheme="minorEastAsia" w:hAnsiTheme="minorEastAsia" w:eastAsiaTheme="minorEastAsia"/>
                <w:color w:val="000000"/>
                <w:sz w:val="21"/>
                <w:szCs w:val="21"/>
              </w:rPr>
            </w:pPr>
          </w:p>
        </w:tc>
        <w:tc>
          <w:tcPr>
            <w:tcW w:w="936"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207</w:t>
            </w:r>
          </w:p>
        </w:tc>
        <w:tc>
          <w:tcPr>
            <w:tcW w:w="950"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3" w:type="dxa"/>
            <w:tcBorders>
              <w:top w:val="nil"/>
              <w:left w:val="nil"/>
              <w:bottom w:val="single" w:color="auto" w:sz="4" w:space="0"/>
              <w:right w:val="nil"/>
            </w:tcBorders>
            <w:vAlign w:val="bottom"/>
          </w:tcPr>
          <w:p>
            <w:pPr>
              <w:spacing w:line="360" w:lineRule="auto"/>
              <w:jc w:val="center"/>
              <w:rPr>
                <w:rFonts w:cs="Calibri" w:asciiTheme="minorEastAsia" w:hAnsiTheme="minorEastAsia" w:eastAsiaTheme="minorEastAsia"/>
                <w:color w:val="000000"/>
                <w:sz w:val="21"/>
                <w:szCs w:val="21"/>
              </w:rPr>
            </w:pPr>
          </w:p>
        </w:tc>
        <w:tc>
          <w:tcPr>
            <w:tcW w:w="921"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381</w:t>
            </w:r>
          </w:p>
        </w:tc>
        <w:tc>
          <w:tcPr>
            <w:tcW w:w="950"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single" w:color="auto" w:sz="4" w:space="0"/>
              <w:right w:val="nil"/>
            </w:tcBorders>
            <w:vAlign w:val="bottom"/>
          </w:tcPr>
          <w:p>
            <w:pPr>
              <w:spacing w:line="360" w:lineRule="auto"/>
              <w:jc w:val="center"/>
              <w:rPr>
                <w:rFonts w:ascii="宋体" w:hAnsi="宋体" w:eastAsia="宋体" w:cs="Times New Roman"/>
                <w:color w:val="000000"/>
              </w:rPr>
            </w:pPr>
          </w:p>
        </w:tc>
      </w:tr>
      <w:tr>
        <w:tblPrEx>
          <w:tblCellMar>
            <w:top w:w="0" w:type="dxa"/>
            <w:left w:w="108" w:type="dxa"/>
            <w:bottom w:w="0" w:type="dxa"/>
            <w:right w:w="108" w:type="dxa"/>
          </w:tblCellMar>
        </w:tblPrEx>
        <w:trPr>
          <w:gridAfter w:val="1"/>
          <w:wAfter w:w="222" w:type="dxa"/>
          <w:trHeight w:val="23" w:hRule="atLeast"/>
          <w:jc w:val="center"/>
        </w:trPr>
        <w:tc>
          <w:tcPr>
            <w:tcW w:w="1220" w:type="dxa"/>
            <w:vMerge w:val="restart"/>
            <w:tcBorders>
              <w:top w:val="nil"/>
              <w:left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近两周</w:t>
            </w:r>
          </w:p>
        </w:tc>
        <w:tc>
          <w:tcPr>
            <w:tcW w:w="1389" w:type="dxa"/>
            <w:tcBorders>
              <w:top w:val="single" w:color="auto" w:sz="4" w:space="0"/>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规律服用</w:t>
            </w:r>
          </w:p>
        </w:tc>
        <w:tc>
          <w:tcPr>
            <w:tcW w:w="719"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143</w:t>
            </w:r>
          </w:p>
        </w:tc>
        <w:tc>
          <w:tcPr>
            <w:tcW w:w="950"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82.18</w:t>
            </w:r>
          </w:p>
        </w:tc>
        <w:tc>
          <w:tcPr>
            <w:tcW w:w="223" w:type="dxa"/>
            <w:tcBorders>
              <w:top w:val="single" w:color="auto" w:sz="4" w:space="0"/>
              <w:left w:val="nil"/>
              <w:bottom w:val="nil"/>
              <w:right w:val="nil"/>
            </w:tcBorders>
          </w:tcPr>
          <w:p>
            <w:pPr>
              <w:spacing w:line="360" w:lineRule="auto"/>
              <w:jc w:val="center"/>
              <w:rPr>
                <w:rFonts w:cs="宋体" w:asciiTheme="minorEastAsia" w:hAnsiTheme="minorEastAsia" w:eastAsiaTheme="minorEastAsia"/>
                <w:color w:val="000000"/>
                <w:sz w:val="21"/>
                <w:szCs w:val="21"/>
              </w:rPr>
            </w:pPr>
          </w:p>
        </w:tc>
        <w:tc>
          <w:tcPr>
            <w:tcW w:w="936"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170</w:t>
            </w:r>
          </w:p>
        </w:tc>
        <w:tc>
          <w:tcPr>
            <w:tcW w:w="950"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82.13</w:t>
            </w:r>
          </w:p>
        </w:tc>
        <w:tc>
          <w:tcPr>
            <w:tcW w:w="223" w:type="dxa"/>
            <w:tcBorders>
              <w:top w:val="single" w:color="auto" w:sz="4" w:space="0"/>
              <w:left w:val="nil"/>
              <w:bottom w:val="nil"/>
              <w:right w:val="nil"/>
            </w:tcBorders>
            <w:vAlign w:val="bottom"/>
          </w:tcPr>
          <w:p>
            <w:pPr>
              <w:spacing w:line="360" w:lineRule="auto"/>
              <w:jc w:val="center"/>
              <w:rPr>
                <w:rFonts w:cs="宋体" w:asciiTheme="minorEastAsia" w:hAnsiTheme="minorEastAsia" w:eastAsiaTheme="minorEastAsia"/>
                <w:bCs/>
                <w:color w:val="000000"/>
                <w:sz w:val="21"/>
                <w:szCs w:val="21"/>
              </w:rPr>
            </w:pPr>
          </w:p>
        </w:tc>
        <w:tc>
          <w:tcPr>
            <w:tcW w:w="921"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bCs/>
                <w:color w:val="000000"/>
                <w:sz w:val="21"/>
                <w:szCs w:val="21"/>
              </w:rPr>
            </w:pPr>
            <w:r>
              <w:rPr>
                <w:rFonts w:cs="Arial" w:asciiTheme="minorEastAsia" w:hAnsiTheme="minorEastAsia" w:eastAsiaTheme="minorEastAsia"/>
                <w:bCs/>
                <w:color w:val="000000"/>
                <w:sz w:val="21"/>
                <w:szCs w:val="21"/>
              </w:rPr>
              <w:t>313</w:t>
            </w:r>
          </w:p>
        </w:tc>
        <w:tc>
          <w:tcPr>
            <w:tcW w:w="950" w:type="dxa"/>
            <w:tcBorders>
              <w:top w:val="single" w:color="auto" w:sz="4" w:space="0"/>
              <w:left w:val="nil"/>
              <w:bottom w:val="nil"/>
              <w:right w:val="nil"/>
            </w:tcBorders>
          </w:tcPr>
          <w:p>
            <w:pPr>
              <w:spacing w:line="360" w:lineRule="auto"/>
              <w:jc w:val="center"/>
              <w:rPr>
                <w:rFonts w:cs="Arial" w:asciiTheme="minorEastAsia" w:hAnsiTheme="minorEastAsia" w:eastAsiaTheme="minorEastAsia"/>
                <w:bCs/>
                <w:color w:val="000000"/>
                <w:sz w:val="21"/>
                <w:szCs w:val="21"/>
              </w:rPr>
            </w:pPr>
            <w:r>
              <w:rPr>
                <w:rFonts w:cs="Arial" w:asciiTheme="minorEastAsia" w:hAnsiTheme="minorEastAsia" w:eastAsiaTheme="minorEastAsia"/>
                <w:bCs/>
                <w:color w:val="000000"/>
                <w:sz w:val="21"/>
                <w:szCs w:val="21"/>
              </w:rPr>
              <w:t>82.15</w:t>
            </w:r>
          </w:p>
        </w:tc>
      </w:tr>
      <w:tr>
        <w:tblPrEx>
          <w:tblCellMar>
            <w:top w:w="0" w:type="dxa"/>
            <w:left w:w="108" w:type="dxa"/>
            <w:bottom w:w="0" w:type="dxa"/>
            <w:right w:w="108" w:type="dxa"/>
          </w:tblCellMar>
        </w:tblPrEx>
        <w:trPr>
          <w:gridAfter w:val="1"/>
          <w:wAfter w:w="222" w:type="dxa"/>
          <w:trHeight w:val="23" w:hRule="atLeast"/>
          <w:jc w:val="center"/>
        </w:trPr>
        <w:tc>
          <w:tcPr>
            <w:tcW w:w="1220" w:type="dxa"/>
            <w:vMerge w:val="continue"/>
            <w:tcBorders>
              <w:left w:val="nil"/>
              <w:right w:val="nil"/>
            </w:tcBorders>
          </w:tcPr>
          <w:p>
            <w:pPr>
              <w:spacing w:line="360" w:lineRule="auto"/>
              <w:jc w:val="center"/>
              <w:rPr>
                <w:rFonts w:cs="Times New Roman" w:asciiTheme="minorEastAsia" w:hAnsiTheme="minorEastAsia" w:eastAsiaTheme="minorEastAsia"/>
                <w:color w:val="000000"/>
                <w:sz w:val="21"/>
                <w:szCs w:val="21"/>
              </w:rPr>
            </w:pPr>
          </w:p>
        </w:tc>
        <w:tc>
          <w:tcPr>
            <w:tcW w:w="1389" w:type="dxa"/>
            <w:tcBorders>
              <w:top w:val="nil"/>
              <w:left w:val="nil"/>
              <w:bottom w:val="nil"/>
              <w:right w:val="nil"/>
            </w:tcBorders>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不规律服用</w:t>
            </w:r>
          </w:p>
        </w:tc>
        <w:tc>
          <w:tcPr>
            <w:tcW w:w="719"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31</w:t>
            </w:r>
          </w:p>
        </w:tc>
        <w:tc>
          <w:tcPr>
            <w:tcW w:w="950"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17.82</w:t>
            </w:r>
          </w:p>
        </w:tc>
        <w:tc>
          <w:tcPr>
            <w:tcW w:w="223"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93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37</w:t>
            </w:r>
          </w:p>
        </w:tc>
        <w:tc>
          <w:tcPr>
            <w:tcW w:w="950"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17.87</w:t>
            </w:r>
          </w:p>
        </w:tc>
        <w:tc>
          <w:tcPr>
            <w:tcW w:w="223" w:type="dxa"/>
            <w:tcBorders>
              <w:top w:val="nil"/>
              <w:left w:val="nil"/>
              <w:bottom w:val="nil"/>
              <w:right w:val="nil"/>
            </w:tcBorders>
            <w:vAlign w:val="bottom"/>
          </w:tcPr>
          <w:p>
            <w:pPr>
              <w:spacing w:line="360" w:lineRule="auto"/>
              <w:jc w:val="center"/>
              <w:rPr>
                <w:rFonts w:cs="Calibri" w:asciiTheme="minorEastAsia" w:hAnsiTheme="minorEastAsia" w:eastAsiaTheme="minorEastAsia"/>
                <w:color w:val="000000"/>
                <w:sz w:val="21"/>
                <w:szCs w:val="21"/>
              </w:rPr>
            </w:pPr>
          </w:p>
        </w:tc>
        <w:tc>
          <w:tcPr>
            <w:tcW w:w="921" w:type="dxa"/>
            <w:tcBorders>
              <w:top w:val="nil"/>
              <w:left w:val="nil"/>
              <w:bottom w:val="nil"/>
              <w:right w:val="nil"/>
            </w:tcBorders>
            <w:noWrap/>
          </w:tcPr>
          <w:p>
            <w:pPr>
              <w:spacing w:line="360" w:lineRule="auto"/>
              <w:jc w:val="center"/>
              <w:rPr>
                <w:rFonts w:cs="Arial" w:asciiTheme="minorEastAsia" w:hAnsiTheme="minorEastAsia" w:eastAsiaTheme="minorEastAsia"/>
                <w:bCs/>
                <w:color w:val="000000"/>
                <w:sz w:val="21"/>
                <w:szCs w:val="21"/>
              </w:rPr>
            </w:pPr>
            <w:r>
              <w:rPr>
                <w:rFonts w:cs="Arial" w:asciiTheme="minorEastAsia" w:hAnsiTheme="minorEastAsia" w:eastAsiaTheme="minorEastAsia"/>
                <w:bCs/>
                <w:color w:val="000000"/>
                <w:sz w:val="21"/>
                <w:szCs w:val="21"/>
              </w:rPr>
              <w:t>68</w:t>
            </w:r>
          </w:p>
        </w:tc>
        <w:tc>
          <w:tcPr>
            <w:tcW w:w="950" w:type="dxa"/>
            <w:tcBorders>
              <w:top w:val="nil"/>
              <w:left w:val="nil"/>
              <w:bottom w:val="nil"/>
              <w:right w:val="nil"/>
            </w:tcBorders>
          </w:tcPr>
          <w:p>
            <w:pPr>
              <w:spacing w:line="360" w:lineRule="auto"/>
              <w:jc w:val="center"/>
              <w:rPr>
                <w:rFonts w:cs="Arial" w:asciiTheme="minorEastAsia" w:hAnsiTheme="minorEastAsia" w:eastAsiaTheme="minorEastAsia"/>
                <w:bCs/>
                <w:color w:val="000000"/>
                <w:sz w:val="21"/>
                <w:szCs w:val="21"/>
              </w:rPr>
            </w:pPr>
            <w:r>
              <w:rPr>
                <w:rFonts w:cs="Arial" w:asciiTheme="minorEastAsia" w:hAnsiTheme="minorEastAsia" w:eastAsiaTheme="minorEastAsia"/>
                <w:bCs/>
                <w:color w:val="000000"/>
                <w:sz w:val="21"/>
                <w:szCs w:val="21"/>
              </w:rPr>
              <w:t>17.85</w:t>
            </w:r>
          </w:p>
        </w:tc>
      </w:tr>
      <w:tr>
        <w:tblPrEx>
          <w:tblCellMar>
            <w:top w:w="0" w:type="dxa"/>
            <w:left w:w="108" w:type="dxa"/>
            <w:bottom w:w="0" w:type="dxa"/>
            <w:right w:w="108" w:type="dxa"/>
          </w:tblCellMar>
        </w:tblPrEx>
        <w:trPr>
          <w:gridAfter w:val="1"/>
          <w:wAfter w:w="222" w:type="dxa"/>
          <w:trHeight w:val="23" w:hRule="atLeast"/>
          <w:jc w:val="center"/>
        </w:trPr>
        <w:tc>
          <w:tcPr>
            <w:tcW w:w="1220" w:type="dxa"/>
            <w:vMerge w:val="continue"/>
            <w:tcBorders>
              <w:left w:val="nil"/>
              <w:bottom w:val="single" w:color="auto" w:sz="8" w:space="0"/>
              <w:right w:val="nil"/>
            </w:tcBorders>
            <w:vAlign w:val="center"/>
          </w:tcPr>
          <w:p>
            <w:pPr>
              <w:spacing w:line="360" w:lineRule="auto"/>
              <w:jc w:val="center"/>
              <w:rPr>
                <w:rFonts w:cs="Times New Roman" w:asciiTheme="minorEastAsia" w:hAnsiTheme="minorEastAsia" w:eastAsiaTheme="minorEastAsia"/>
                <w:color w:val="000000"/>
                <w:sz w:val="21"/>
                <w:szCs w:val="21"/>
              </w:rPr>
            </w:pPr>
          </w:p>
        </w:tc>
        <w:tc>
          <w:tcPr>
            <w:tcW w:w="1389" w:type="dxa"/>
            <w:tcBorders>
              <w:top w:val="nil"/>
              <w:left w:val="nil"/>
              <w:bottom w:val="single" w:color="auto" w:sz="8" w:space="0"/>
              <w:right w:val="nil"/>
            </w:tcBorders>
            <w:vAlign w:val="center"/>
          </w:tcPr>
          <w:p>
            <w:pPr>
              <w:spacing w:line="360" w:lineRule="auto"/>
              <w:jc w:val="center"/>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合计</w:t>
            </w:r>
          </w:p>
        </w:tc>
        <w:tc>
          <w:tcPr>
            <w:tcW w:w="719"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174</w:t>
            </w:r>
          </w:p>
        </w:tc>
        <w:tc>
          <w:tcPr>
            <w:tcW w:w="950"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3" w:type="dxa"/>
            <w:tcBorders>
              <w:top w:val="nil"/>
              <w:left w:val="nil"/>
              <w:bottom w:val="single" w:color="auto" w:sz="8" w:space="0"/>
              <w:right w:val="nil"/>
            </w:tcBorders>
          </w:tcPr>
          <w:p>
            <w:pPr>
              <w:spacing w:line="360" w:lineRule="auto"/>
              <w:jc w:val="center"/>
              <w:rPr>
                <w:rFonts w:cs="宋体" w:asciiTheme="minorEastAsia" w:hAnsiTheme="minorEastAsia" w:eastAsiaTheme="minorEastAsia"/>
                <w:color w:val="000000"/>
                <w:sz w:val="21"/>
                <w:szCs w:val="21"/>
              </w:rPr>
            </w:pPr>
          </w:p>
        </w:tc>
        <w:tc>
          <w:tcPr>
            <w:tcW w:w="936"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207</w:t>
            </w:r>
          </w:p>
        </w:tc>
        <w:tc>
          <w:tcPr>
            <w:tcW w:w="950"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3" w:type="dxa"/>
            <w:tcBorders>
              <w:top w:val="nil"/>
              <w:left w:val="nil"/>
              <w:bottom w:val="single" w:color="auto" w:sz="8" w:space="0"/>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921"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381</w:t>
            </w:r>
          </w:p>
        </w:tc>
        <w:tc>
          <w:tcPr>
            <w:tcW w:w="950"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r>
    </w:tbl>
    <w:p>
      <w:pPr>
        <w:spacing w:after="0" w:line="360" w:lineRule="auto"/>
        <w:ind w:firstLine="482" w:firstLineChars="200"/>
        <w:rPr>
          <w:rFonts w:ascii="宋体" w:hAnsi="宋体" w:eastAsia="宋体"/>
          <w:b/>
          <w:sz w:val="24"/>
          <w:szCs w:val="24"/>
        </w:rPr>
      </w:pPr>
      <w:r>
        <w:rPr>
          <w:rFonts w:hint="eastAsia" w:ascii="宋体" w:hAnsi="宋体" w:eastAsia="宋体"/>
          <w:b/>
          <w:sz w:val="24"/>
          <w:szCs w:val="24"/>
        </w:rPr>
        <w:t>4.4高血压知晓率情况</w:t>
      </w:r>
    </w:p>
    <w:p>
      <w:pPr>
        <w:spacing w:beforeLines="50" w:afterLines="5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638名患有高血压的调查对象中有449名在调查前已被医生诊断为高血压，高血压知晓率为70.37%（449/638），男、女性高血压知晓率分别为68.79%（205/298）、71.76%（244/340）。女性人群高血压知晓率高于男性人群高血压知晓率。调查对象18～、30～、40～、50～、60～、70～、80～年龄组高血压知晓率分别为50.00%、44.44%、58.82%、58.66%、70.56%、73.89%、77.46%。高血压知晓率随年龄增加而升高。</w:t>
      </w:r>
    </w:p>
    <w:p>
      <w:pPr>
        <w:spacing w:after="0" w:line="360" w:lineRule="auto"/>
        <w:ind w:firstLine="236" w:firstLineChars="98"/>
        <w:rPr>
          <w:rFonts w:ascii="宋体" w:hAnsi="宋体" w:eastAsia="宋体"/>
          <w:b/>
          <w:sz w:val="24"/>
          <w:szCs w:val="24"/>
        </w:rPr>
      </w:pPr>
      <w:r>
        <w:rPr>
          <w:rFonts w:hint="eastAsia" w:ascii="宋体" w:hAnsi="宋体" w:eastAsia="宋体"/>
          <w:b/>
          <w:sz w:val="24"/>
          <w:szCs w:val="24"/>
        </w:rPr>
        <w:t>4.5高血压控制率情况</w:t>
      </w:r>
    </w:p>
    <w:p>
      <w:pPr>
        <w:spacing w:beforeLines="50" w:afterLines="5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638名患有高血压的调查对象中调查当天血压小于140/90mmHg者有167名，高血压控制率为26.18%（167/638），男、女性高血压控制率分别为27.18%（81/298）、25.29%（86/340）。其中18～、30～、40～、50～、60～、70～、80～年龄组高血压控制率分别为0%、22.22%、27.45%、22.39%、27.57%、31.21%、18.31%。</w:t>
      </w:r>
    </w:p>
    <w:p>
      <w:pPr>
        <w:spacing w:after="0" w:line="360" w:lineRule="auto"/>
        <w:ind w:firstLine="275" w:firstLineChars="98"/>
        <w:rPr>
          <w:rFonts w:asciiTheme="minorEastAsia" w:hAnsiTheme="minorEastAsia" w:eastAsiaTheme="minorEastAsia"/>
          <w:b/>
          <w:sz w:val="28"/>
          <w:szCs w:val="28"/>
        </w:rPr>
      </w:pPr>
      <w:r>
        <w:rPr>
          <w:rFonts w:hint="eastAsia" w:asciiTheme="minorEastAsia" w:hAnsiTheme="minorEastAsia" w:eastAsiaTheme="minorEastAsia"/>
          <w:b/>
          <w:sz w:val="28"/>
          <w:szCs w:val="28"/>
        </w:rPr>
        <w:t>5、糖尿病患病情况</w:t>
      </w:r>
    </w:p>
    <w:p>
      <w:pPr>
        <w:spacing w:after="0" w:line="360" w:lineRule="auto"/>
        <w:ind w:firstLine="236" w:firstLineChars="98"/>
        <w:rPr>
          <w:rFonts w:asciiTheme="minorEastAsia" w:hAnsiTheme="minorEastAsia" w:eastAsiaTheme="minorEastAsia"/>
          <w:b/>
          <w:sz w:val="24"/>
          <w:szCs w:val="24"/>
        </w:rPr>
      </w:pPr>
      <w:r>
        <w:rPr>
          <w:rFonts w:hint="eastAsia" w:asciiTheme="minorEastAsia" w:hAnsiTheme="minorEastAsia" w:eastAsiaTheme="minorEastAsia"/>
          <w:b/>
          <w:sz w:val="24"/>
          <w:szCs w:val="24"/>
        </w:rPr>
        <w:t>5.1糖尿病患病率</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次调查发现，调查人群糖尿病患病率为16.02%（206/1286），男性患病率为15.34%（85/544），女性人群患病率为16.53%（121/732）。男性患病率高于女性患病率。调查对象18～、30～、40～、50～、60～、70～、80～年龄组糖尿病患病率分别为2.17%、1.56%、4.78%、10.51%、24.71%、23.47%、30.86%。糖尿病患病率随年龄增加而上升。用全</w:t>
      </w:r>
      <w:r>
        <w:rPr>
          <w:rFonts w:cs="Times New Roman" w:asciiTheme="minorEastAsia" w:hAnsiTheme="minorEastAsia" w:eastAsiaTheme="minorEastAsia"/>
          <w:sz w:val="24"/>
          <w:szCs w:val="24"/>
        </w:rPr>
        <w:t>国</w:t>
      </w:r>
      <w:r>
        <w:rPr>
          <w:rFonts w:hint="eastAsia" w:cs="Times New Roman" w:asciiTheme="minorEastAsia" w:hAnsiTheme="minorEastAsia" w:eastAsiaTheme="minorEastAsia"/>
          <w:sz w:val="24"/>
          <w:szCs w:val="24"/>
        </w:rPr>
        <w:t>2010年第六次人口普查数据性别年龄标化后，调查人群糖尿病标化患病率为7.</w:t>
      </w:r>
      <w:r>
        <w:rPr>
          <w:rFonts w:cs="Times New Roman" w:asciiTheme="minorEastAsia" w:hAnsiTheme="minorEastAsia" w:eastAsiaTheme="minorEastAsia"/>
          <w:sz w:val="24"/>
          <w:szCs w:val="24"/>
        </w:rPr>
        <w:t>48</w:t>
      </w:r>
      <w:r>
        <w:rPr>
          <w:rFonts w:hint="eastAsia" w:cs="Times New Roman" w:asciiTheme="minorEastAsia" w:hAnsiTheme="minorEastAsia" w:eastAsiaTheme="minorEastAsia"/>
          <w:sz w:val="24"/>
          <w:szCs w:val="24"/>
        </w:rPr>
        <w:t>%，男性糖尿病标化患病率为</w:t>
      </w:r>
      <w:r>
        <w:rPr>
          <w:rFonts w:cs="Times New Roman" w:asciiTheme="minorEastAsia" w:hAnsiTheme="minorEastAsia" w:eastAsiaTheme="minorEastAsia"/>
          <w:sz w:val="24"/>
          <w:szCs w:val="24"/>
        </w:rPr>
        <w:t>6.90</w:t>
      </w:r>
      <w:r>
        <w:rPr>
          <w:rFonts w:hint="eastAsia" w:cs="Times New Roman" w:asciiTheme="minorEastAsia" w:hAnsiTheme="minorEastAsia" w:eastAsiaTheme="minorEastAsia"/>
          <w:sz w:val="24"/>
          <w:szCs w:val="24"/>
        </w:rPr>
        <w:t>%，女性标化患病率为</w:t>
      </w:r>
      <w:r>
        <w:rPr>
          <w:rFonts w:cs="Times New Roman" w:asciiTheme="minorEastAsia" w:hAnsiTheme="minorEastAsia" w:eastAsiaTheme="minorEastAsia"/>
          <w:sz w:val="24"/>
          <w:szCs w:val="24"/>
        </w:rPr>
        <w:t>8.07</w:t>
      </w:r>
      <w:r>
        <w:rPr>
          <w:rFonts w:hint="eastAsia" w:cs="Times New Roman" w:asciiTheme="minorEastAsia" w:hAnsiTheme="minorEastAsia" w:eastAsiaTheme="minorEastAsia"/>
          <w:sz w:val="24"/>
          <w:szCs w:val="24"/>
        </w:rPr>
        <w:t>%。见表9. 见图</w:t>
      </w:r>
      <w:r>
        <w:rPr>
          <w:rFonts w:cs="Times New Roman" w:asciiTheme="minorEastAsia" w:hAnsiTheme="minorEastAsia" w:eastAsiaTheme="minorEastAsia"/>
          <w:sz w:val="24"/>
          <w:szCs w:val="24"/>
        </w:rPr>
        <w:t>21</w:t>
      </w:r>
      <w:r>
        <w:rPr>
          <w:rFonts w:hint="eastAsia" w:cs="Times New Roman" w:asciiTheme="minorEastAsia" w:hAnsiTheme="minorEastAsia" w:eastAsiaTheme="minorEastAsia"/>
          <w:sz w:val="24"/>
          <w:szCs w:val="24"/>
        </w:rPr>
        <w:t>.</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表9   调查对象分年龄组糖尿病患病率</w:t>
      </w:r>
      <w:r>
        <w:rPr>
          <w:rFonts w:hint="eastAsia" w:cs="Times New Roman" w:asciiTheme="minorEastAsia" w:hAnsiTheme="minorEastAsia" w:eastAsiaTheme="minorEastAsia"/>
        </w:rPr>
        <w:t>（%）</w:t>
      </w:r>
    </w:p>
    <w:tbl>
      <w:tblPr>
        <w:tblStyle w:val="11"/>
        <w:tblW w:w="8519" w:type="dxa"/>
        <w:tblInd w:w="0" w:type="dxa"/>
        <w:tblLayout w:type="fixed"/>
        <w:tblCellMar>
          <w:top w:w="0" w:type="dxa"/>
          <w:left w:w="108" w:type="dxa"/>
          <w:bottom w:w="0" w:type="dxa"/>
          <w:right w:w="108" w:type="dxa"/>
        </w:tblCellMar>
      </w:tblPr>
      <w:tblGrid>
        <w:gridCol w:w="1150"/>
        <w:gridCol w:w="1059"/>
        <w:gridCol w:w="1248"/>
        <w:gridCol w:w="236"/>
        <w:gridCol w:w="903"/>
        <w:gridCol w:w="1300"/>
        <w:gridCol w:w="236"/>
        <w:gridCol w:w="1092"/>
        <w:gridCol w:w="1295"/>
      </w:tblGrid>
      <w:tr>
        <w:tblPrEx>
          <w:tblCellMar>
            <w:top w:w="0" w:type="dxa"/>
            <w:left w:w="108" w:type="dxa"/>
            <w:bottom w:w="0" w:type="dxa"/>
            <w:right w:w="108" w:type="dxa"/>
          </w:tblCellMar>
        </w:tblPrEx>
        <w:trPr>
          <w:trHeight w:val="90" w:hRule="atLeast"/>
        </w:trPr>
        <w:tc>
          <w:tcPr>
            <w:tcW w:w="1153" w:type="dxa"/>
            <w:vMerge w:val="restart"/>
            <w:tcBorders>
              <w:top w:val="single" w:color="auto" w:sz="8" w:space="0"/>
              <w:left w:val="nil"/>
              <w:bottom w:val="single" w:color="000000"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年龄</w:t>
            </w:r>
          </w:p>
        </w:tc>
        <w:tc>
          <w:tcPr>
            <w:tcW w:w="2315"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22"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2211"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222"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2396"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90" w:hRule="atLeast"/>
        </w:trPr>
        <w:tc>
          <w:tcPr>
            <w:tcW w:w="1153" w:type="dxa"/>
            <w:vMerge w:val="continue"/>
            <w:tcBorders>
              <w:top w:val="single" w:color="auto" w:sz="8"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1063"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252"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c>
          <w:tcPr>
            <w:tcW w:w="222"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906"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305"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c>
          <w:tcPr>
            <w:tcW w:w="222"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1096"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300"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r>
      <w:tr>
        <w:tblPrEx>
          <w:tblCellMar>
            <w:top w:w="0" w:type="dxa"/>
            <w:left w:w="108" w:type="dxa"/>
            <w:bottom w:w="0" w:type="dxa"/>
            <w:right w:w="108" w:type="dxa"/>
          </w:tblCellMar>
        </w:tblPrEx>
        <w:trPr>
          <w:trHeight w:val="90" w:hRule="atLeast"/>
        </w:trPr>
        <w:tc>
          <w:tcPr>
            <w:tcW w:w="1153"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18～</w:t>
            </w:r>
          </w:p>
        </w:tc>
        <w:tc>
          <w:tcPr>
            <w:tcW w:w="1063"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w:t>
            </w:r>
          </w:p>
        </w:tc>
        <w:tc>
          <w:tcPr>
            <w:tcW w:w="1252"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0.00 </w:t>
            </w:r>
          </w:p>
        </w:tc>
        <w:tc>
          <w:tcPr>
            <w:tcW w:w="222"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906"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305"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4.17 </w:t>
            </w:r>
          </w:p>
        </w:tc>
        <w:tc>
          <w:tcPr>
            <w:tcW w:w="222"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1096"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300"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2.17 </w:t>
            </w:r>
          </w:p>
        </w:tc>
      </w:tr>
      <w:tr>
        <w:tblPrEx>
          <w:tblCellMar>
            <w:top w:w="0" w:type="dxa"/>
            <w:left w:w="108" w:type="dxa"/>
            <w:bottom w:w="0" w:type="dxa"/>
            <w:right w:w="108" w:type="dxa"/>
          </w:tblCellMar>
        </w:tblPrEx>
        <w:trPr>
          <w:trHeight w:val="289" w:hRule="atLeast"/>
        </w:trPr>
        <w:tc>
          <w:tcPr>
            <w:tcW w:w="115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30～</w:t>
            </w:r>
          </w:p>
        </w:tc>
        <w:tc>
          <w:tcPr>
            <w:tcW w:w="106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25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4.00 </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906"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0</w:t>
            </w:r>
          </w:p>
        </w:tc>
        <w:tc>
          <w:tcPr>
            <w:tcW w:w="130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0.00 </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109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30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1.56 </w:t>
            </w:r>
          </w:p>
        </w:tc>
      </w:tr>
      <w:tr>
        <w:tblPrEx>
          <w:tblCellMar>
            <w:top w:w="0" w:type="dxa"/>
            <w:left w:w="108" w:type="dxa"/>
            <w:bottom w:w="0" w:type="dxa"/>
            <w:right w:w="108" w:type="dxa"/>
          </w:tblCellMar>
        </w:tblPrEx>
        <w:trPr>
          <w:trHeight w:val="90" w:hRule="atLeast"/>
        </w:trPr>
        <w:tc>
          <w:tcPr>
            <w:tcW w:w="115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40～</w:t>
            </w:r>
          </w:p>
        </w:tc>
        <w:tc>
          <w:tcPr>
            <w:tcW w:w="106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w:t>
            </w:r>
          </w:p>
        </w:tc>
        <w:tc>
          <w:tcPr>
            <w:tcW w:w="125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6.67 </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90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w:t>
            </w:r>
          </w:p>
        </w:tc>
        <w:tc>
          <w:tcPr>
            <w:tcW w:w="130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3.73 </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109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w:t>
            </w:r>
          </w:p>
        </w:tc>
        <w:tc>
          <w:tcPr>
            <w:tcW w:w="130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4.78 </w:t>
            </w:r>
          </w:p>
        </w:tc>
      </w:tr>
      <w:tr>
        <w:tblPrEx>
          <w:tblCellMar>
            <w:top w:w="0" w:type="dxa"/>
            <w:left w:w="108" w:type="dxa"/>
            <w:bottom w:w="0" w:type="dxa"/>
            <w:right w:w="108" w:type="dxa"/>
          </w:tblCellMar>
        </w:tblPrEx>
        <w:trPr>
          <w:trHeight w:val="90" w:hRule="atLeast"/>
        </w:trPr>
        <w:tc>
          <w:tcPr>
            <w:tcW w:w="115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50～</w:t>
            </w:r>
          </w:p>
        </w:tc>
        <w:tc>
          <w:tcPr>
            <w:tcW w:w="106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20</w:t>
            </w:r>
          </w:p>
        </w:tc>
        <w:tc>
          <w:tcPr>
            <w:tcW w:w="125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13.70 </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90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w:t>
            </w:r>
          </w:p>
        </w:tc>
        <w:tc>
          <w:tcPr>
            <w:tcW w:w="130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8.02 </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109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35</w:t>
            </w:r>
          </w:p>
        </w:tc>
        <w:tc>
          <w:tcPr>
            <w:tcW w:w="130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10.51 </w:t>
            </w:r>
          </w:p>
        </w:tc>
      </w:tr>
      <w:tr>
        <w:tblPrEx>
          <w:tblCellMar>
            <w:top w:w="0" w:type="dxa"/>
            <w:left w:w="108" w:type="dxa"/>
            <w:bottom w:w="0" w:type="dxa"/>
            <w:right w:w="108" w:type="dxa"/>
          </w:tblCellMar>
        </w:tblPrEx>
        <w:trPr>
          <w:trHeight w:val="90" w:hRule="atLeast"/>
        </w:trPr>
        <w:tc>
          <w:tcPr>
            <w:tcW w:w="115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60～</w:t>
            </w:r>
          </w:p>
        </w:tc>
        <w:tc>
          <w:tcPr>
            <w:tcW w:w="106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26</w:t>
            </w:r>
          </w:p>
        </w:tc>
        <w:tc>
          <w:tcPr>
            <w:tcW w:w="125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18.31 </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90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58</w:t>
            </w:r>
          </w:p>
        </w:tc>
        <w:tc>
          <w:tcPr>
            <w:tcW w:w="130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29.29 </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109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84</w:t>
            </w:r>
          </w:p>
        </w:tc>
        <w:tc>
          <w:tcPr>
            <w:tcW w:w="130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24.71 </w:t>
            </w:r>
          </w:p>
        </w:tc>
      </w:tr>
      <w:tr>
        <w:tblPrEx>
          <w:tblCellMar>
            <w:top w:w="0" w:type="dxa"/>
            <w:left w:w="108" w:type="dxa"/>
            <w:bottom w:w="0" w:type="dxa"/>
            <w:right w:w="108" w:type="dxa"/>
          </w:tblCellMar>
        </w:tblPrEx>
        <w:trPr>
          <w:trHeight w:val="90" w:hRule="atLeast"/>
        </w:trPr>
        <w:tc>
          <w:tcPr>
            <w:tcW w:w="115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70～</w:t>
            </w:r>
          </w:p>
        </w:tc>
        <w:tc>
          <w:tcPr>
            <w:tcW w:w="106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23</w:t>
            </w:r>
          </w:p>
        </w:tc>
        <w:tc>
          <w:tcPr>
            <w:tcW w:w="125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20.72 </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90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27</w:t>
            </w:r>
          </w:p>
        </w:tc>
        <w:tc>
          <w:tcPr>
            <w:tcW w:w="130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26.47 </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109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50</w:t>
            </w:r>
          </w:p>
        </w:tc>
        <w:tc>
          <w:tcPr>
            <w:tcW w:w="130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23.47 </w:t>
            </w:r>
          </w:p>
        </w:tc>
      </w:tr>
      <w:tr>
        <w:tblPrEx>
          <w:tblCellMar>
            <w:top w:w="0" w:type="dxa"/>
            <w:left w:w="108" w:type="dxa"/>
            <w:bottom w:w="0" w:type="dxa"/>
            <w:right w:w="108" w:type="dxa"/>
          </w:tblCellMar>
        </w:tblPrEx>
        <w:trPr>
          <w:trHeight w:val="90" w:hRule="atLeast"/>
        </w:trPr>
        <w:tc>
          <w:tcPr>
            <w:tcW w:w="1153" w:type="dxa"/>
            <w:tcBorders>
              <w:top w:val="nil"/>
              <w:left w:val="nil"/>
              <w:bottom w:val="single" w:color="auto" w:sz="8"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80～</w:t>
            </w:r>
          </w:p>
        </w:tc>
        <w:tc>
          <w:tcPr>
            <w:tcW w:w="1063"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w:t>
            </w:r>
          </w:p>
        </w:tc>
        <w:tc>
          <w:tcPr>
            <w:tcW w:w="1252"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30.30 </w:t>
            </w:r>
          </w:p>
        </w:tc>
        <w:tc>
          <w:tcPr>
            <w:tcW w:w="222"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906"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w:t>
            </w:r>
          </w:p>
        </w:tc>
        <w:tc>
          <w:tcPr>
            <w:tcW w:w="1305"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31.25 </w:t>
            </w:r>
          </w:p>
        </w:tc>
        <w:tc>
          <w:tcPr>
            <w:tcW w:w="222"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p>
        </w:tc>
        <w:tc>
          <w:tcPr>
            <w:tcW w:w="1096"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25</w:t>
            </w:r>
          </w:p>
        </w:tc>
        <w:tc>
          <w:tcPr>
            <w:tcW w:w="1300"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30.86 </w:t>
            </w:r>
          </w:p>
        </w:tc>
      </w:tr>
      <w:tr>
        <w:tblPrEx>
          <w:tblCellMar>
            <w:top w:w="0" w:type="dxa"/>
            <w:left w:w="108" w:type="dxa"/>
            <w:bottom w:w="0" w:type="dxa"/>
            <w:right w:w="108" w:type="dxa"/>
          </w:tblCellMar>
        </w:tblPrEx>
        <w:trPr>
          <w:trHeight w:val="90" w:hRule="atLeast"/>
        </w:trPr>
        <w:tc>
          <w:tcPr>
            <w:tcW w:w="1153" w:type="dxa"/>
            <w:tcBorders>
              <w:top w:val="nil"/>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1063"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85</w:t>
            </w:r>
          </w:p>
        </w:tc>
        <w:tc>
          <w:tcPr>
            <w:tcW w:w="1252"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15.34 </w:t>
            </w:r>
          </w:p>
        </w:tc>
        <w:tc>
          <w:tcPr>
            <w:tcW w:w="222"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w:t>
            </w:r>
          </w:p>
        </w:tc>
        <w:tc>
          <w:tcPr>
            <w:tcW w:w="906"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121</w:t>
            </w:r>
          </w:p>
        </w:tc>
        <w:tc>
          <w:tcPr>
            <w:tcW w:w="1305"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16.53 </w:t>
            </w:r>
          </w:p>
        </w:tc>
        <w:tc>
          <w:tcPr>
            <w:tcW w:w="222"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w:t>
            </w:r>
          </w:p>
        </w:tc>
        <w:tc>
          <w:tcPr>
            <w:tcW w:w="1096"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206</w:t>
            </w:r>
          </w:p>
        </w:tc>
        <w:tc>
          <w:tcPr>
            <w:tcW w:w="1300"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 xml:space="preserve">16.02 </w:t>
            </w:r>
          </w:p>
        </w:tc>
      </w:tr>
    </w:tbl>
    <w:p>
      <w:pPr>
        <w:spacing w:beforeLines="50" w:afterLines="50" w:line="360" w:lineRule="auto"/>
        <w:ind w:firstLine="440" w:firstLineChars="200"/>
        <w:rPr>
          <w:rFonts w:ascii="Calibri" w:hAnsi="Calibri" w:eastAsia="宋体" w:cs="Times New Roman"/>
        </w:rPr>
      </w:pPr>
      <w:r>
        <w:rPr>
          <w:rFonts w:ascii="Calibri" w:hAnsi="Calibri" w:eastAsia="宋体" w:cs="Times New Roman"/>
        </w:rPr>
        <w:drawing>
          <wp:inline distT="0" distB="0" distL="0" distR="0">
            <wp:extent cx="5274310" cy="2467610"/>
            <wp:effectExtent l="19050" t="0" r="21590" b="8440"/>
            <wp:docPr id="1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spacing w:beforeLines="50" w:afterLines="50" w:line="360" w:lineRule="auto"/>
        <w:ind w:firstLine="440" w:firstLineChars="200"/>
        <w:jc w:val="center"/>
        <w:rPr>
          <w:rFonts w:cs="Times New Roman" w:asciiTheme="minorEastAsia" w:hAnsiTheme="minorEastAsia" w:eastAsiaTheme="minorEastAsia"/>
        </w:rPr>
      </w:pPr>
      <w:r>
        <w:rPr>
          <w:rFonts w:hint="eastAsia" w:cs="Times New Roman" w:asciiTheme="minorEastAsia" w:hAnsiTheme="minorEastAsia" w:eastAsiaTheme="minorEastAsia"/>
        </w:rPr>
        <w:t>图</w:t>
      </w:r>
      <w:r>
        <w:rPr>
          <w:rFonts w:cs="Times New Roman" w:asciiTheme="minorEastAsia" w:hAnsiTheme="minorEastAsia" w:eastAsiaTheme="minorEastAsia"/>
        </w:rPr>
        <w:t>21</w:t>
      </w:r>
      <w:r>
        <w:rPr>
          <w:rFonts w:hint="eastAsia" w:cs="Times New Roman" w:asciiTheme="minorEastAsia" w:hAnsiTheme="minorEastAsia" w:eastAsiaTheme="minorEastAsia"/>
        </w:rPr>
        <w:t xml:space="preserve">   调查对象分年龄组糖尿病患病率（%）</w:t>
      </w:r>
    </w:p>
    <w:p>
      <w:pPr>
        <w:spacing w:beforeLines="50" w:afterLines="50" w:line="360" w:lineRule="auto"/>
        <w:ind w:firstLine="482" w:firstLineChars="200"/>
        <w:rPr>
          <w:rFonts w:cs="Times New Roman" w:asciiTheme="minorEastAsia" w:hAnsiTheme="minorEastAsia" w:eastAsiaTheme="minorEastAsia"/>
          <w:b/>
          <w:sz w:val="24"/>
          <w:szCs w:val="24"/>
        </w:rPr>
      </w:pPr>
      <w:r>
        <w:rPr>
          <w:rFonts w:hint="eastAsia" w:asciiTheme="minorEastAsia" w:hAnsiTheme="minorEastAsia" w:eastAsiaTheme="minorEastAsia"/>
          <w:b/>
          <w:sz w:val="24"/>
          <w:szCs w:val="24"/>
        </w:rPr>
        <w:t>5.2调查对象</w:t>
      </w:r>
      <w:r>
        <w:rPr>
          <w:rFonts w:hint="eastAsia" w:cs="Times New Roman" w:asciiTheme="minorEastAsia" w:hAnsiTheme="minorEastAsia" w:eastAsiaTheme="minorEastAsia"/>
          <w:b/>
          <w:sz w:val="24"/>
          <w:szCs w:val="24"/>
        </w:rPr>
        <w:t>糖调节受损患病率</w:t>
      </w:r>
      <w:r>
        <w:rPr>
          <w:rFonts w:hint="eastAsia" w:asciiTheme="minorEastAsia" w:hAnsiTheme="minorEastAsia" w:eastAsiaTheme="minorEastAsia"/>
          <w:b/>
          <w:sz w:val="24"/>
          <w:szCs w:val="24"/>
        </w:rPr>
        <w:t>情况</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本次调查发现，糖调节受损（IGR）者46人，IGR患病率为3.58%（46/1286），男性人群IGR患病率为4.69%（26/554），女性人群IGR患病率为2.73%（20/732）。调查对象18～、30～、40～、50～、60～、70～、80～年龄组IGR患病率分别为0.00%、0.00%、0.96%、5.11%、5.59%、3.29%、1.23%。见图</w:t>
      </w:r>
      <w:r>
        <w:rPr>
          <w:rFonts w:cs="Times New Roman" w:asciiTheme="minorEastAsia" w:hAnsiTheme="minorEastAsia" w:eastAsiaTheme="minorEastAsia"/>
          <w:sz w:val="24"/>
          <w:szCs w:val="24"/>
        </w:rPr>
        <w:t>22</w:t>
      </w:r>
      <w:r>
        <w:rPr>
          <w:rFonts w:hint="eastAsia" w:cs="Times New Roman" w:asciiTheme="minorEastAsia" w:hAnsiTheme="minorEastAsia" w:eastAsiaTheme="minorEastAsia"/>
          <w:sz w:val="24"/>
          <w:szCs w:val="24"/>
        </w:rPr>
        <w:t>.</w:t>
      </w:r>
    </w:p>
    <w:p>
      <w:pPr>
        <w:spacing w:beforeLines="50" w:afterLines="50" w:line="360" w:lineRule="auto"/>
        <w:ind w:firstLine="560" w:firstLineChars="200"/>
        <w:jc w:val="center"/>
        <w:rPr>
          <w:sz w:val="28"/>
          <w:szCs w:val="36"/>
        </w:rPr>
      </w:pPr>
      <w:r>
        <w:rPr>
          <w:sz w:val="28"/>
          <w:szCs w:val="36"/>
        </w:rPr>
        <w:drawing>
          <wp:inline distT="0" distB="0" distL="0" distR="0">
            <wp:extent cx="5274310" cy="2641600"/>
            <wp:effectExtent l="19050" t="0" r="21590" b="6209"/>
            <wp:docPr id="2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spacing w:beforeLines="50" w:afterLines="50" w:line="360" w:lineRule="auto"/>
        <w:ind w:firstLine="440" w:firstLineChars="200"/>
        <w:jc w:val="center"/>
        <w:rPr>
          <w:rFonts w:asciiTheme="minorEastAsia" w:hAnsiTheme="minorEastAsia" w:eastAsiaTheme="minorEastAsia"/>
        </w:rPr>
      </w:pPr>
      <w:r>
        <w:rPr>
          <w:rFonts w:hint="eastAsia" w:asciiTheme="minorEastAsia" w:hAnsiTheme="minorEastAsia" w:eastAsiaTheme="minorEastAsia"/>
        </w:rPr>
        <w:t>图</w:t>
      </w:r>
      <w:r>
        <w:rPr>
          <w:rFonts w:asciiTheme="minorEastAsia" w:hAnsiTheme="minorEastAsia" w:eastAsiaTheme="minorEastAsia"/>
        </w:rPr>
        <w:t>22</w:t>
      </w:r>
      <w:r>
        <w:rPr>
          <w:rFonts w:hint="eastAsia" w:asciiTheme="minorEastAsia" w:hAnsiTheme="minorEastAsia" w:eastAsiaTheme="minorEastAsia"/>
        </w:rPr>
        <w:t xml:space="preserve">  调查对象分年龄组糖调节受损患病率</w:t>
      </w:r>
      <w:r>
        <w:rPr>
          <w:rFonts w:hint="eastAsia" w:cs="Times New Roman" w:asciiTheme="minorEastAsia" w:hAnsiTheme="minorEastAsia" w:eastAsiaTheme="minorEastAsia"/>
        </w:rPr>
        <w:t>（%）</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IGR中空腹血糖受损（IFG）者25人，IFG患病率为1.94%（25/1286），男性人群IFG患病率为2.89%（16/554），女性人群IFG患病率为1.23%（9/732）。调查对象18～、30～、40～、50～、60～、70～、80～年龄组IFG患病率分别为0.0.%、0.00%、0.96%、3.30%、2.06%、2.82%、0.00%。见图</w:t>
      </w:r>
      <w:r>
        <w:rPr>
          <w:rFonts w:cs="Times New Roman" w:asciiTheme="minorEastAsia" w:hAnsiTheme="minorEastAsia" w:eastAsiaTheme="minorEastAsia"/>
          <w:sz w:val="24"/>
          <w:szCs w:val="24"/>
        </w:rPr>
        <w:t>23</w:t>
      </w:r>
      <w:r>
        <w:rPr>
          <w:rFonts w:hint="eastAsia" w:cs="Times New Roman" w:asciiTheme="minorEastAsia" w:hAnsiTheme="minorEastAsia" w:eastAsiaTheme="minorEastAsia"/>
          <w:sz w:val="24"/>
          <w:szCs w:val="24"/>
        </w:rPr>
        <w:t>.</w:t>
      </w:r>
    </w:p>
    <w:p>
      <w:pPr>
        <w:spacing w:line="360" w:lineRule="auto"/>
        <w:jc w:val="center"/>
        <w:rPr>
          <w:rFonts w:ascii="宋体" w:hAnsi="宋体"/>
          <w:color w:val="000000"/>
        </w:rPr>
      </w:pPr>
      <w:r>
        <w:rPr>
          <w:rFonts w:ascii="宋体" w:hAnsi="宋体"/>
          <w:color w:val="000000"/>
        </w:rPr>
        <w:drawing>
          <wp:inline distT="0" distB="0" distL="0" distR="0">
            <wp:extent cx="5514975" cy="2266950"/>
            <wp:effectExtent l="19050" t="0" r="9525" b="0"/>
            <wp:docPr id="4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图</w:t>
      </w:r>
      <w:r>
        <w:rPr>
          <w:rFonts w:asciiTheme="minorEastAsia" w:hAnsiTheme="minorEastAsia" w:eastAsiaTheme="minorEastAsia"/>
          <w:color w:val="000000"/>
        </w:rPr>
        <w:t>23</w:t>
      </w:r>
      <w:r>
        <w:rPr>
          <w:rFonts w:hint="eastAsia" w:asciiTheme="minorEastAsia" w:hAnsiTheme="minorEastAsia" w:eastAsiaTheme="minorEastAsia"/>
          <w:color w:val="000000"/>
        </w:rPr>
        <w:t xml:space="preserve">  调查对象分年龄组空腹血糖受损患病率（%）</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IGR中糖耐量受损（IGT）者21人，IGT患病率为1.63%（21/1286），男性人群IGT患病率为1.81%（10/554），女性人群IGT患病率为1.50%（11/732）。调查对象18～、30～、40～、50～、60～、70～、80～年龄组IGT患病率分别为0.00%、0.00%、0.48%、1.80%、3.53%、0.47%、1.23%。见图</w:t>
      </w:r>
      <w:r>
        <w:rPr>
          <w:rFonts w:cs="Times New Roman" w:asciiTheme="minorEastAsia" w:hAnsiTheme="minorEastAsia" w:eastAsiaTheme="minorEastAsia"/>
          <w:sz w:val="24"/>
          <w:szCs w:val="24"/>
        </w:rPr>
        <w:t>24</w:t>
      </w:r>
      <w:r>
        <w:rPr>
          <w:rFonts w:hint="eastAsia" w:cs="Times New Roman" w:asciiTheme="minorEastAsia" w:hAnsiTheme="minorEastAsia" w:eastAsiaTheme="minorEastAsia"/>
          <w:sz w:val="24"/>
          <w:szCs w:val="24"/>
        </w:rPr>
        <w:t>.</w:t>
      </w:r>
    </w:p>
    <w:p>
      <w:pPr>
        <w:spacing w:line="360" w:lineRule="auto"/>
        <w:jc w:val="center"/>
        <w:rPr>
          <w:rFonts w:hint="eastAsia" w:ascii="宋体" w:hAnsi="宋体" w:eastAsia="微软雅黑"/>
          <w:color w:val="000000"/>
          <w:lang w:eastAsia="zh-CN"/>
        </w:rPr>
      </w:pPr>
      <w:r>
        <w:rPr>
          <w:rFonts w:hint="eastAsia" w:ascii="宋体" w:hAnsi="宋体" w:eastAsia="微软雅黑"/>
          <w:color w:val="000000"/>
          <w:lang w:eastAsia="zh-CN"/>
        </w:rPr>
        <w:drawing>
          <wp:inline distT="0" distB="0" distL="114300" distR="114300">
            <wp:extent cx="5270500" cy="1872615"/>
            <wp:effectExtent l="0" t="0" r="0" b="6985"/>
            <wp:docPr id="1" name="图片 1" descr="2fff21f90e7e2e0657ceee6e10f1a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fff21f90e7e2e0657ceee6e10f1ad8"/>
                    <pic:cNvPicPr>
                      <a:picLocks noChangeAspect="1"/>
                    </pic:cNvPicPr>
                  </pic:nvPicPr>
                  <pic:blipFill>
                    <a:blip r:embed="rId29"/>
                    <a:stretch>
                      <a:fillRect/>
                    </a:stretch>
                  </pic:blipFill>
                  <pic:spPr>
                    <a:xfrm>
                      <a:off x="0" y="0"/>
                      <a:ext cx="5270500" cy="1872615"/>
                    </a:xfrm>
                    <a:prstGeom prst="rect">
                      <a:avLst/>
                    </a:prstGeom>
                  </pic:spPr>
                </pic:pic>
              </a:graphicData>
            </a:graphic>
          </wp:inline>
        </w:drawing>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图</w:t>
      </w:r>
      <w:r>
        <w:rPr>
          <w:rFonts w:asciiTheme="minorEastAsia" w:hAnsiTheme="minorEastAsia" w:eastAsiaTheme="minorEastAsia"/>
          <w:color w:val="000000"/>
        </w:rPr>
        <w:t>24</w:t>
      </w:r>
      <w:r>
        <w:rPr>
          <w:rFonts w:hint="eastAsia" w:asciiTheme="minorEastAsia" w:hAnsiTheme="minorEastAsia" w:eastAsiaTheme="minorEastAsia"/>
          <w:color w:val="000000"/>
        </w:rPr>
        <w:t xml:space="preserve">   调查对象分年龄组糖耐量受损患病（%）</w:t>
      </w:r>
    </w:p>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5.3 既往糖尿病患者治疗情况</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 xml:space="preserve">170名既往糖尿病患者中，67.65%有采取控制饮食等非药物治疗，78.82%有采取药物治疗，10.00%有注射胰岛素，近半年按医生要求规律治疗（包括控制饮食等非药物治疗）占76.47%，治疗不规律的占11.18%，未采取治疗的占12.35%。见表10. </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表10   既往糖尿病患者的治疗情况</w:t>
      </w:r>
    </w:p>
    <w:tbl>
      <w:tblPr>
        <w:tblStyle w:val="11"/>
        <w:tblW w:w="8519" w:type="dxa"/>
        <w:jc w:val="center"/>
        <w:tblLayout w:type="fixed"/>
        <w:tblCellMar>
          <w:top w:w="0" w:type="dxa"/>
          <w:left w:w="108" w:type="dxa"/>
          <w:bottom w:w="0" w:type="dxa"/>
          <w:right w:w="108" w:type="dxa"/>
        </w:tblCellMar>
      </w:tblPr>
      <w:tblGrid>
        <w:gridCol w:w="1753"/>
        <w:gridCol w:w="695"/>
        <w:gridCol w:w="890"/>
        <w:gridCol w:w="948"/>
        <w:gridCol w:w="236"/>
        <w:gridCol w:w="939"/>
        <w:gridCol w:w="948"/>
        <w:gridCol w:w="236"/>
        <w:gridCol w:w="926"/>
        <w:gridCol w:w="948"/>
      </w:tblGrid>
      <w:tr>
        <w:tblPrEx>
          <w:tblCellMar>
            <w:top w:w="0" w:type="dxa"/>
            <w:left w:w="108" w:type="dxa"/>
            <w:bottom w:w="0" w:type="dxa"/>
            <w:right w:w="108" w:type="dxa"/>
          </w:tblCellMar>
        </w:tblPrEx>
        <w:trPr>
          <w:trHeight w:val="23" w:hRule="atLeast"/>
          <w:jc w:val="center"/>
        </w:trPr>
        <w:tc>
          <w:tcPr>
            <w:tcW w:w="2458" w:type="dxa"/>
            <w:gridSpan w:val="2"/>
            <w:vMerge w:val="restart"/>
            <w:tcBorders>
              <w:top w:val="single" w:color="auto" w:sz="4" w:space="0"/>
              <w:left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治疗情况</w:t>
            </w:r>
          </w:p>
        </w:tc>
        <w:tc>
          <w:tcPr>
            <w:tcW w:w="1844"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22"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893"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222"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880"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23" w:hRule="atLeast"/>
          <w:jc w:val="center"/>
        </w:trPr>
        <w:tc>
          <w:tcPr>
            <w:tcW w:w="2458" w:type="dxa"/>
            <w:gridSpan w:val="2"/>
            <w:vMerge w:val="continue"/>
            <w:tcBorders>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893"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95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2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94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95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2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929"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95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r>
      <w:tr>
        <w:tblPrEx>
          <w:tblCellMar>
            <w:top w:w="0" w:type="dxa"/>
            <w:left w:w="108" w:type="dxa"/>
            <w:bottom w:w="0" w:type="dxa"/>
            <w:right w:w="108" w:type="dxa"/>
          </w:tblCellMar>
        </w:tblPrEx>
        <w:trPr>
          <w:trHeight w:val="23" w:hRule="atLeast"/>
          <w:jc w:val="center"/>
        </w:trPr>
        <w:tc>
          <w:tcPr>
            <w:tcW w:w="1761" w:type="dxa"/>
            <w:vMerge w:val="restart"/>
            <w:tcBorders>
              <w:top w:val="single" w:color="auto" w:sz="4" w:space="0"/>
              <w:left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控制饮食等</w:t>
            </w:r>
          </w:p>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非药物治疗</w:t>
            </w:r>
          </w:p>
        </w:tc>
        <w:tc>
          <w:tcPr>
            <w:tcW w:w="697"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是</w:t>
            </w:r>
          </w:p>
        </w:tc>
        <w:tc>
          <w:tcPr>
            <w:tcW w:w="893"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44</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69.84</w:t>
            </w:r>
          </w:p>
        </w:tc>
        <w:tc>
          <w:tcPr>
            <w:tcW w:w="222"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42"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71</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66.36</w:t>
            </w:r>
          </w:p>
        </w:tc>
        <w:tc>
          <w:tcPr>
            <w:tcW w:w="222"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29"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115</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67.65</w:t>
            </w:r>
          </w:p>
        </w:tc>
      </w:tr>
      <w:tr>
        <w:tblPrEx>
          <w:tblCellMar>
            <w:top w:w="0" w:type="dxa"/>
            <w:left w:w="108" w:type="dxa"/>
            <w:bottom w:w="0" w:type="dxa"/>
            <w:right w:w="108" w:type="dxa"/>
          </w:tblCellMar>
        </w:tblPrEx>
        <w:trPr>
          <w:trHeight w:val="23" w:hRule="atLeast"/>
          <w:jc w:val="center"/>
        </w:trPr>
        <w:tc>
          <w:tcPr>
            <w:tcW w:w="1761" w:type="dxa"/>
            <w:vMerge w:val="continue"/>
            <w:tcBorders>
              <w:left w:val="nil"/>
              <w:right w:val="nil"/>
            </w:tcBorders>
          </w:tcPr>
          <w:p>
            <w:pPr>
              <w:spacing w:line="360" w:lineRule="auto"/>
              <w:jc w:val="center"/>
              <w:rPr>
                <w:rFonts w:asciiTheme="minorEastAsia" w:hAnsiTheme="minorEastAsia" w:eastAsiaTheme="minorEastAsia"/>
                <w:color w:val="000000"/>
                <w:sz w:val="21"/>
                <w:szCs w:val="21"/>
              </w:rPr>
            </w:pPr>
          </w:p>
        </w:tc>
        <w:tc>
          <w:tcPr>
            <w:tcW w:w="69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否</w:t>
            </w:r>
          </w:p>
        </w:tc>
        <w:tc>
          <w:tcPr>
            <w:tcW w:w="89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19</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30.16</w:t>
            </w:r>
          </w:p>
        </w:tc>
        <w:tc>
          <w:tcPr>
            <w:tcW w:w="22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42"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36</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33.64</w:t>
            </w:r>
          </w:p>
        </w:tc>
        <w:tc>
          <w:tcPr>
            <w:tcW w:w="22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29"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55</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32.35</w:t>
            </w:r>
          </w:p>
        </w:tc>
      </w:tr>
      <w:tr>
        <w:tblPrEx>
          <w:tblCellMar>
            <w:top w:w="0" w:type="dxa"/>
            <w:left w:w="108" w:type="dxa"/>
            <w:bottom w:w="0" w:type="dxa"/>
            <w:right w:w="108" w:type="dxa"/>
          </w:tblCellMar>
        </w:tblPrEx>
        <w:trPr>
          <w:trHeight w:val="23" w:hRule="atLeast"/>
          <w:jc w:val="center"/>
        </w:trPr>
        <w:tc>
          <w:tcPr>
            <w:tcW w:w="1761" w:type="dxa"/>
            <w:vMerge w:val="continue"/>
            <w:tcBorders>
              <w:left w:val="nil"/>
              <w:right w:val="nil"/>
            </w:tcBorders>
          </w:tcPr>
          <w:p>
            <w:pPr>
              <w:spacing w:line="360" w:lineRule="auto"/>
              <w:jc w:val="center"/>
              <w:rPr>
                <w:rFonts w:asciiTheme="minorEastAsia" w:hAnsiTheme="minorEastAsia" w:eastAsiaTheme="minorEastAsia"/>
                <w:color w:val="000000"/>
                <w:sz w:val="21"/>
                <w:szCs w:val="21"/>
              </w:rPr>
            </w:pPr>
          </w:p>
        </w:tc>
        <w:tc>
          <w:tcPr>
            <w:tcW w:w="697"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893"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63</w:t>
            </w:r>
          </w:p>
        </w:tc>
        <w:tc>
          <w:tcPr>
            <w:tcW w:w="951"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p>
        </w:tc>
        <w:tc>
          <w:tcPr>
            <w:tcW w:w="942"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107</w:t>
            </w:r>
          </w:p>
        </w:tc>
        <w:tc>
          <w:tcPr>
            <w:tcW w:w="951"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p>
        </w:tc>
        <w:tc>
          <w:tcPr>
            <w:tcW w:w="929"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170</w:t>
            </w:r>
          </w:p>
        </w:tc>
        <w:tc>
          <w:tcPr>
            <w:tcW w:w="951"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r>
      <w:tr>
        <w:tblPrEx>
          <w:tblCellMar>
            <w:top w:w="0" w:type="dxa"/>
            <w:left w:w="108" w:type="dxa"/>
            <w:bottom w:w="0" w:type="dxa"/>
            <w:right w:w="108" w:type="dxa"/>
          </w:tblCellMar>
        </w:tblPrEx>
        <w:trPr>
          <w:trHeight w:val="23" w:hRule="atLeast"/>
          <w:jc w:val="center"/>
        </w:trPr>
        <w:tc>
          <w:tcPr>
            <w:tcW w:w="1761" w:type="dxa"/>
            <w:vMerge w:val="restart"/>
            <w:tcBorders>
              <w:left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药物治疗</w:t>
            </w:r>
          </w:p>
        </w:tc>
        <w:tc>
          <w:tcPr>
            <w:tcW w:w="697"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是</w:t>
            </w:r>
          </w:p>
        </w:tc>
        <w:tc>
          <w:tcPr>
            <w:tcW w:w="893"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48</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76.19</w:t>
            </w:r>
          </w:p>
        </w:tc>
        <w:tc>
          <w:tcPr>
            <w:tcW w:w="222"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42"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86</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80.37</w:t>
            </w:r>
          </w:p>
        </w:tc>
        <w:tc>
          <w:tcPr>
            <w:tcW w:w="222"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29"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134</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78.82</w:t>
            </w:r>
          </w:p>
        </w:tc>
      </w:tr>
      <w:tr>
        <w:tblPrEx>
          <w:tblCellMar>
            <w:top w:w="0" w:type="dxa"/>
            <w:left w:w="108" w:type="dxa"/>
            <w:bottom w:w="0" w:type="dxa"/>
            <w:right w:w="108" w:type="dxa"/>
          </w:tblCellMar>
        </w:tblPrEx>
        <w:trPr>
          <w:trHeight w:val="23" w:hRule="atLeast"/>
          <w:jc w:val="center"/>
        </w:trPr>
        <w:tc>
          <w:tcPr>
            <w:tcW w:w="1761" w:type="dxa"/>
            <w:vMerge w:val="continue"/>
            <w:tcBorders>
              <w:left w:val="nil"/>
              <w:right w:val="nil"/>
            </w:tcBorders>
          </w:tcPr>
          <w:p>
            <w:pPr>
              <w:spacing w:line="360" w:lineRule="auto"/>
              <w:jc w:val="center"/>
              <w:rPr>
                <w:rFonts w:asciiTheme="minorEastAsia" w:hAnsiTheme="minorEastAsia" w:eastAsiaTheme="minorEastAsia"/>
                <w:color w:val="000000"/>
                <w:sz w:val="21"/>
                <w:szCs w:val="21"/>
              </w:rPr>
            </w:pPr>
          </w:p>
        </w:tc>
        <w:tc>
          <w:tcPr>
            <w:tcW w:w="69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否</w:t>
            </w:r>
          </w:p>
        </w:tc>
        <w:tc>
          <w:tcPr>
            <w:tcW w:w="89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23.81</w:t>
            </w:r>
          </w:p>
        </w:tc>
        <w:tc>
          <w:tcPr>
            <w:tcW w:w="22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42"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19.63</w:t>
            </w:r>
          </w:p>
        </w:tc>
        <w:tc>
          <w:tcPr>
            <w:tcW w:w="22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29"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36</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21.18</w:t>
            </w:r>
          </w:p>
        </w:tc>
      </w:tr>
      <w:tr>
        <w:tblPrEx>
          <w:tblCellMar>
            <w:top w:w="0" w:type="dxa"/>
            <w:left w:w="108" w:type="dxa"/>
            <w:bottom w:w="0" w:type="dxa"/>
            <w:right w:w="108" w:type="dxa"/>
          </w:tblCellMar>
        </w:tblPrEx>
        <w:trPr>
          <w:trHeight w:val="23" w:hRule="atLeast"/>
          <w:jc w:val="center"/>
        </w:trPr>
        <w:tc>
          <w:tcPr>
            <w:tcW w:w="1761" w:type="dxa"/>
            <w:vMerge w:val="continue"/>
            <w:tcBorders>
              <w:left w:val="nil"/>
              <w:right w:val="nil"/>
            </w:tcBorders>
          </w:tcPr>
          <w:p>
            <w:pPr>
              <w:spacing w:line="360" w:lineRule="auto"/>
              <w:jc w:val="center"/>
              <w:rPr>
                <w:rFonts w:asciiTheme="minorEastAsia" w:hAnsiTheme="minorEastAsia" w:eastAsiaTheme="minorEastAsia"/>
                <w:color w:val="000000"/>
                <w:sz w:val="21"/>
                <w:szCs w:val="21"/>
              </w:rPr>
            </w:pPr>
          </w:p>
        </w:tc>
        <w:tc>
          <w:tcPr>
            <w:tcW w:w="69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89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63</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42"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107</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29"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170</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r>
      <w:tr>
        <w:tblPrEx>
          <w:tblCellMar>
            <w:top w:w="0" w:type="dxa"/>
            <w:left w:w="108" w:type="dxa"/>
            <w:bottom w:w="0" w:type="dxa"/>
            <w:right w:w="108" w:type="dxa"/>
          </w:tblCellMar>
        </w:tblPrEx>
        <w:trPr>
          <w:trHeight w:val="23" w:hRule="atLeast"/>
          <w:jc w:val="center"/>
        </w:trPr>
        <w:tc>
          <w:tcPr>
            <w:tcW w:w="1761" w:type="dxa"/>
            <w:vMerge w:val="restart"/>
            <w:tcBorders>
              <w:top w:val="nil"/>
              <w:left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注射胰岛素</w:t>
            </w:r>
          </w:p>
        </w:tc>
        <w:tc>
          <w:tcPr>
            <w:tcW w:w="697"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是</w:t>
            </w:r>
          </w:p>
        </w:tc>
        <w:tc>
          <w:tcPr>
            <w:tcW w:w="893"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7.94</w:t>
            </w:r>
          </w:p>
        </w:tc>
        <w:tc>
          <w:tcPr>
            <w:tcW w:w="222"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42"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11.21</w:t>
            </w:r>
          </w:p>
        </w:tc>
        <w:tc>
          <w:tcPr>
            <w:tcW w:w="222"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29"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w:t>
            </w:r>
          </w:p>
        </w:tc>
      </w:tr>
      <w:tr>
        <w:tblPrEx>
          <w:tblCellMar>
            <w:top w:w="0" w:type="dxa"/>
            <w:left w:w="108" w:type="dxa"/>
            <w:bottom w:w="0" w:type="dxa"/>
            <w:right w:w="108" w:type="dxa"/>
          </w:tblCellMar>
        </w:tblPrEx>
        <w:trPr>
          <w:trHeight w:val="23" w:hRule="atLeast"/>
          <w:jc w:val="center"/>
        </w:trPr>
        <w:tc>
          <w:tcPr>
            <w:tcW w:w="1761" w:type="dxa"/>
            <w:vMerge w:val="continue"/>
            <w:tcBorders>
              <w:left w:val="nil"/>
              <w:right w:val="nil"/>
            </w:tcBorders>
          </w:tcPr>
          <w:p>
            <w:pPr>
              <w:spacing w:line="360" w:lineRule="auto"/>
              <w:jc w:val="center"/>
              <w:rPr>
                <w:rFonts w:asciiTheme="minorEastAsia" w:hAnsiTheme="minorEastAsia" w:eastAsiaTheme="minorEastAsia"/>
                <w:color w:val="000000"/>
                <w:sz w:val="21"/>
                <w:szCs w:val="21"/>
              </w:rPr>
            </w:pPr>
          </w:p>
        </w:tc>
        <w:tc>
          <w:tcPr>
            <w:tcW w:w="69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否</w:t>
            </w:r>
          </w:p>
        </w:tc>
        <w:tc>
          <w:tcPr>
            <w:tcW w:w="89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58</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92.06</w:t>
            </w:r>
          </w:p>
        </w:tc>
        <w:tc>
          <w:tcPr>
            <w:tcW w:w="22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42"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95</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88.79</w:t>
            </w:r>
          </w:p>
        </w:tc>
        <w:tc>
          <w:tcPr>
            <w:tcW w:w="22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p>
        </w:tc>
        <w:tc>
          <w:tcPr>
            <w:tcW w:w="929"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153</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90.00</w:t>
            </w:r>
          </w:p>
        </w:tc>
      </w:tr>
      <w:tr>
        <w:tblPrEx>
          <w:tblCellMar>
            <w:top w:w="0" w:type="dxa"/>
            <w:left w:w="108" w:type="dxa"/>
            <w:bottom w:w="0" w:type="dxa"/>
            <w:right w:w="108" w:type="dxa"/>
          </w:tblCellMar>
        </w:tblPrEx>
        <w:trPr>
          <w:trHeight w:val="23" w:hRule="atLeast"/>
          <w:jc w:val="center"/>
        </w:trPr>
        <w:tc>
          <w:tcPr>
            <w:tcW w:w="1761" w:type="dxa"/>
            <w:vMerge w:val="continue"/>
            <w:tcBorders>
              <w:left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697"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893"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63</w:t>
            </w:r>
          </w:p>
        </w:tc>
        <w:tc>
          <w:tcPr>
            <w:tcW w:w="951"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p>
        </w:tc>
        <w:tc>
          <w:tcPr>
            <w:tcW w:w="942"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107</w:t>
            </w:r>
          </w:p>
        </w:tc>
        <w:tc>
          <w:tcPr>
            <w:tcW w:w="951"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p>
        </w:tc>
        <w:tc>
          <w:tcPr>
            <w:tcW w:w="929"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170</w:t>
            </w:r>
          </w:p>
        </w:tc>
        <w:tc>
          <w:tcPr>
            <w:tcW w:w="951"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r>
      <w:tr>
        <w:tblPrEx>
          <w:tblCellMar>
            <w:top w:w="0" w:type="dxa"/>
            <w:left w:w="108" w:type="dxa"/>
            <w:bottom w:w="0" w:type="dxa"/>
            <w:right w:w="108" w:type="dxa"/>
          </w:tblCellMar>
        </w:tblPrEx>
        <w:trPr>
          <w:trHeight w:val="23" w:hRule="atLeast"/>
          <w:jc w:val="center"/>
        </w:trPr>
        <w:tc>
          <w:tcPr>
            <w:tcW w:w="1761" w:type="dxa"/>
            <w:vMerge w:val="restart"/>
            <w:tcBorders>
              <w:left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半年来按医生要求治疗（包括控制饮食等非药物）</w:t>
            </w:r>
          </w:p>
        </w:tc>
        <w:tc>
          <w:tcPr>
            <w:tcW w:w="697"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规律</w:t>
            </w:r>
          </w:p>
        </w:tc>
        <w:tc>
          <w:tcPr>
            <w:tcW w:w="893"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49</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77.78</w:t>
            </w:r>
          </w:p>
        </w:tc>
        <w:tc>
          <w:tcPr>
            <w:tcW w:w="222" w:type="dxa"/>
            <w:tcBorders>
              <w:top w:val="single" w:color="auto" w:sz="4" w:space="0"/>
              <w:left w:val="nil"/>
              <w:bottom w:val="nil"/>
              <w:right w:val="nil"/>
            </w:tcBorders>
          </w:tcPr>
          <w:p>
            <w:pPr>
              <w:spacing w:line="360" w:lineRule="auto"/>
              <w:jc w:val="center"/>
              <w:rPr>
                <w:rFonts w:cs="宋体" w:asciiTheme="minorEastAsia" w:hAnsiTheme="minorEastAsia" w:eastAsiaTheme="minorEastAsia"/>
                <w:color w:val="000000"/>
                <w:sz w:val="21"/>
                <w:szCs w:val="21"/>
              </w:rPr>
            </w:pPr>
          </w:p>
        </w:tc>
        <w:tc>
          <w:tcPr>
            <w:tcW w:w="942"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81</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75.70</w:t>
            </w:r>
          </w:p>
        </w:tc>
        <w:tc>
          <w:tcPr>
            <w:tcW w:w="222" w:type="dxa"/>
            <w:tcBorders>
              <w:top w:val="single" w:color="auto" w:sz="4" w:space="0"/>
              <w:left w:val="nil"/>
              <w:bottom w:val="nil"/>
              <w:right w:val="nil"/>
            </w:tcBorders>
          </w:tcPr>
          <w:p>
            <w:pPr>
              <w:spacing w:line="360" w:lineRule="auto"/>
              <w:jc w:val="center"/>
              <w:rPr>
                <w:rFonts w:cs="宋体" w:asciiTheme="minorEastAsia" w:hAnsiTheme="minorEastAsia" w:eastAsiaTheme="minorEastAsia"/>
                <w:color w:val="000000"/>
                <w:sz w:val="21"/>
                <w:szCs w:val="21"/>
              </w:rPr>
            </w:pPr>
          </w:p>
        </w:tc>
        <w:tc>
          <w:tcPr>
            <w:tcW w:w="929"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130</w:t>
            </w:r>
          </w:p>
        </w:tc>
        <w:tc>
          <w:tcPr>
            <w:tcW w:w="9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76.47</w:t>
            </w:r>
          </w:p>
        </w:tc>
      </w:tr>
      <w:tr>
        <w:tblPrEx>
          <w:tblCellMar>
            <w:top w:w="0" w:type="dxa"/>
            <w:left w:w="108" w:type="dxa"/>
            <w:bottom w:w="0" w:type="dxa"/>
            <w:right w:w="108" w:type="dxa"/>
          </w:tblCellMar>
        </w:tblPrEx>
        <w:trPr>
          <w:trHeight w:val="23" w:hRule="atLeast"/>
          <w:jc w:val="center"/>
        </w:trPr>
        <w:tc>
          <w:tcPr>
            <w:tcW w:w="1761" w:type="dxa"/>
            <w:vMerge w:val="continue"/>
            <w:tcBorders>
              <w:left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697"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不规律</w:t>
            </w:r>
          </w:p>
        </w:tc>
        <w:tc>
          <w:tcPr>
            <w:tcW w:w="89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9.52</w:t>
            </w:r>
          </w:p>
        </w:tc>
        <w:tc>
          <w:tcPr>
            <w:tcW w:w="222"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942"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12.15</w:t>
            </w:r>
          </w:p>
        </w:tc>
        <w:tc>
          <w:tcPr>
            <w:tcW w:w="222" w:type="dxa"/>
            <w:tcBorders>
              <w:top w:val="nil"/>
              <w:left w:val="nil"/>
              <w:bottom w:val="nil"/>
              <w:right w:val="nil"/>
            </w:tcBorders>
          </w:tcPr>
          <w:p>
            <w:pPr>
              <w:spacing w:line="360" w:lineRule="auto"/>
              <w:jc w:val="center"/>
              <w:rPr>
                <w:rFonts w:cs="宋体" w:asciiTheme="minorEastAsia" w:hAnsiTheme="minorEastAsia" w:eastAsiaTheme="minorEastAsia"/>
                <w:color w:val="000000"/>
                <w:sz w:val="21"/>
                <w:szCs w:val="21"/>
              </w:rPr>
            </w:pPr>
          </w:p>
        </w:tc>
        <w:tc>
          <w:tcPr>
            <w:tcW w:w="929"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19</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11.18</w:t>
            </w:r>
          </w:p>
        </w:tc>
      </w:tr>
      <w:tr>
        <w:tblPrEx>
          <w:tblCellMar>
            <w:top w:w="0" w:type="dxa"/>
            <w:left w:w="108" w:type="dxa"/>
            <w:bottom w:w="0" w:type="dxa"/>
            <w:right w:w="108" w:type="dxa"/>
          </w:tblCellMar>
        </w:tblPrEx>
        <w:trPr>
          <w:trHeight w:val="23" w:hRule="atLeast"/>
          <w:jc w:val="center"/>
        </w:trPr>
        <w:tc>
          <w:tcPr>
            <w:tcW w:w="1761" w:type="dxa"/>
            <w:vMerge w:val="continue"/>
            <w:tcBorders>
              <w:left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697"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未采取</w:t>
            </w:r>
          </w:p>
        </w:tc>
        <w:tc>
          <w:tcPr>
            <w:tcW w:w="89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12.70</w:t>
            </w:r>
          </w:p>
        </w:tc>
        <w:tc>
          <w:tcPr>
            <w:tcW w:w="222"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942"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12.15</w:t>
            </w:r>
          </w:p>
        </w:tc>
        <w:tc>
          <w:tcPr>
            <w:tcW w:w="222" w:type="dxa"/>
            <w:tcBorders>
              <w:top w:val="nil"/>
              <w:left w:val="nil"/>
              <w:bottom w:val="nil"/>
              <w:right w:val="nil"/>
            </w:tcBorders>
          </w:tcPr>
          <w:p>
            <w:pPr>
              <w:spacing w:line="360" w:lineRule="auto"/>
              <w:jc w:val="center"/>
              <w:rPr>
                <w:rFonts w:cs="宋体" w:asciiTheme="minorEastAsia" w:hAnsiTheme="minorEastAsia" w:eastAsiaTheme="minorEastAsia"/>
                <w:color w:val="000000"/>
                <w:sz w:val="21"/>
                <w:szCs w:val="21"/>
              </w:rPr>
            </w:pPr>
          </w:p>
        </w:tc>
        <w:tc>
          <w:tcPr>
            <w:tcW w:w="929"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w:t>
            </w:r>
          </w:p>
        </w:tc>
        <w:tc>
          <w:tcPr>
            <w:tcW w:w="9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12.35</w:t>
            </w:r>
          </w:p>
        </w:tc>
      </w:tr>
      <w:tr>
        <w:tblPrEx>
          <w:tblCellMar>
            <w:top w:w="0" w:type="dxa"/>
            <w:left w:w="108" w:type="dxa"/>
            <w:bottom w:w="0" w:type="dxa"/>
            <w:right w:w="108" w:type="dxa"/>
          </w:tblCellMar>
        </w:tblPrEx>
        <w:trPr>
          <w:trHeight w:val="23" w:hRule="atLeast"/>
          <w:jc w:val="center"/>
        </w:trPr>
        <w:tc>
          <w:tcPr>
            <w:tcW w:w="1761" w:type="dxa"/>
            <w:vMerge w:val="continue"/>
            <w:tcBorders>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697" w:type="dxa"/>
            <w:tcBorders>
              <w:top w:val="nil"/>
              <w:left w:val="nil"/>
              <w:bottom w:val="single" w:color="auto" w:sz="8"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893"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63</w:t>
            </w:r>
          </w:p>
        </w:tc>
        <w:tc>
          <w:tcPr>
            <w:tcW w:w="951"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p>
        </w:tc>
        <w:tc>
          <w:tcPr>
            <w:tcW w:w="942"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107</w:t>
            </w:r>
          </w:p>
        </w:tc>
        <w:tc>
          <w:tcPr>
            <w:tcW w:w="951"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single" w:color="auto" w:sz="8" w:space="0"/>
              <w:right w:val="nil"/>
            </w:tcBorders>
          </w:tcPr>
          <w:p>
            <w:pPr>
              <w:spacing w:line="360" w:lineRule="auto"/>
              <w:jc w:val="center"/>
              <w:rPr>
                <w:rFonts w:cs="宋体" w:asciiTheme="minorEastAsia" w:hAnsiTheme="minorEastAsia" w:eastAsiaTheme="minorEastAsia"/>
                <w:color w:val="000000"/>
                <w:sz w:val="21"/>
                <w:szCs w:val="21"/>
              </w:rPr>
            </w:pPr>
          </w:p>
        </w:tc>
        <w:tc>
          <w:tcPr>
            <w:tcW w:w="929"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170</w:t>
            </w:r>
          </w:p>
        </w:tc>
        <w:tc>
          <w:tcPr>
            <w:tcW w:w="951"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r>
    </w:tbl>
    <w:p>
      <w:pPr>
        <w:spacing w:line="360" w:lineRule="auto"/>
        <w:jc w:val="center"/>
        <w:rPr>
          <w:rFonts w:ascii="宋体" w:hAnsi="宋体"/>
          <w:color w:val="000000"/>
        </w:rPr>
      </w:pP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5.4 糖尿病知晓率情况</w:t>
      </w:r>
    </w:p>
    <w:p>
      <w:pPr>
        <w:spacing w:beforeLines="50" w:afterLines="5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206名患有糖尿病的调查对象中有170名在调查前已被医生诊断为糖尿病，糖尿病知晓率为82.52%（170/206），男、女性糖尿病知晓率分别为74.12%（63/85）、88.43%（107/121）。女性人群糖尿病知晓率高于男性人群糖尿病知晓率。调查对象18～、30～、40～、50～、60～、70～、80～年龄组糖尿病知晓率分别为100%、0.00%、80.00%、82.80%、85.71%、78.00%、84.00%。</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5.5糖尿病治疗率</w:t>
      </w:r>
    </w:p>
    <w:p>
      <w:pPr>
        <w:spacing w:beforeLines="50" w:afterLines="5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206名患有糖尿病的调查对象中调查当天空腹血糖小于7.0 mmol/L且口服葡萄糖耐量试验（OGTT）服糖后2小时血糖小于11.1 mmol/L者有88名，血糖控制率为42.72%（88/206），男、女性血糖控制率分别为32.94%（28/85）、49.59%（60/121）。男性人群血糖控制率高于女性人群血糖控制率。其中18～、30～、40～、50～、60～、70～、80～年龄组高血压控制率分别为0.00%、0.00%、30.00%、42.86%、42.86%、38.00%、60.00%。</w:t>
      </w:r>
    </w:p>
    <w:p>
      <w:pPr>
        <w:spacing w:line="360" w:lineRule="auto"/>
        <w:ind w:firstLine="420"/>
        <w:rPr>
          <w:rFonts w:ascii="宋体" w:hAnsi="宋体" w:eastAsia="宋体"/>
          <w:b/>
          <w:sz w:val="24"/>
          <w:szCs w:val="24"/>
        </w:rPr>
      </w:pPr>
      <w:r>
        <w:rPr>
          <w:rFonts w:hint="eastAsia" w:ascii="宋体" w:hAnsi="宋体" w:eastAsia="宋体"/>
          <w:b/>
          <w:sz w:val="24"/>
          <w:szCs w:val="24"/>
        </w:rPr>
        <w:t>6、血脂异常情况</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 xml:space="preserve">6.1对象血脂测量情况， </w:t>
      </w:r>
    </w:p>
    <w:p>
      <w:pPr>
        <w:spacing w:beforeLines="50" w:afterLines="5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本次调查共1288人，其中血脂测量1287人，测量率99.92%。其中男性555人，女性732人，男女性别比为1:1.32。18～，30～，40～，50～，60～，70～，80～岁分别占3.57%、4.97%、16.24%、25.95%、26.42%、16.55%、6.29%。</w:t>
      </w:r>
    </w:p>
    <w:p>
      <w:pPr>
        <w:spacing w:after="0" w:line="360" w:lineRule="auto"/>
        <w:ind w:firstLine="482" w:firstLineChars="200"/>
        <w:rPr>
          <w:rFonts w:ascii="宋体" w:hAnsi="宋体" w:eastAsia="宋体"/>
          <w:b/>
          <w:sz w:val="24"/>
          <w:szCs w:val="24"/>
        </w:rPr>
      </w:pPr>
      <w:r>
        <w:rPr>
          <w:rFonts w:hint="eastAsia" w:ascii="宋体" w:hAnsi="宋体" w:eastAsia="宋体"/>
          <w:b/>
          <w:sz w:val="24"/>
          <w:szCs w:val="24"/>
        </w:rPr>
        <w:t>6.2血脂异常患病率</w:t>
      </w:r>
    </w:p>
    <w:p>
      <w:pPr>
        <w:spacing w:beforeLines="50" w:afterLines="5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本次调查结果显示，人群中血脂异常患病率为49.96%（643/1287），男性人群血脂异常患病率为52.07%（289/555），女性人群血脂异常患病率为48.36%（354/732），男性患病率高于女性患病率（但是</w:t>
      </w:r>
      <w:r>
        <w:rPr>
          <w:rFonts w:ascii="宋体" w:hAnsi="宋体" w:eastAsia="宋体" w:cs="Times New Roman"/>
          <w:sz w:val="24"/>
          <w:szCs w:val="24"/>
        </w:rPr>
        <w:t>P&gt;0.05</w:t>
      </w:r>
      <w:r>
        <w:rPr>
          <w:rFonts w:hint="eastAsia" w:ascii="宋体" w:hAnsi="宋体" w:eastAsia="宋体" w:cs="Times New Roman"/>
          <w:sz w:val="24"/>
          <w:szCs w:val="24"/>
        </w:rPr>
        <w:t>没有统计学意义）。调查人群18～、30～、40～、50～、60～、70～、80～年龄组血脂异常患病率分别为23.91%、35.94%、42.11%、51.20%、55.29%、55.87%、53.09%。血脂异常患病率随年龄增加而上升。用全省2010第六次人口普查数据性别年龄标化后，调查人群的血脂异常标化患病率为41.95%，男性血脂异常标化患病率为51.75%，女性血脂异常标化患病率为31.93%。见表11.</w:t>
      </w:r>
      <w:r>
        <w:rPr>
          <w:rFonts w:hint="eastAsia" w:cs="Times New Roman" w:asciiTheme="minorEastAsia" w:hAnsiTheme="minorEastAsia" w:eastAsiaTheme="minorEastAsia"/>
          <w:sz w:val="24"/>
          <w:szCs w:val="24"/>
        </w:rPr>
        <w:t xml:space="preserve"> 见图</w:t>
      </w:r>
      <w:r>
        <w:rPr>
          <w:rFonts w:cs="Times New Roman" w:asciiTheme="minorEastAsia" w:hAnsiTheme="minorEastAsia" w:eastAsiaTheme="minorEastAsia"/>
          <w:sz w:val="24"/>
          <w:szCs w:val="24"/>
        </w:rPr>
        <w:t>25</w:t>
      </w:r>
      <w:r>
        <w:rPr>
          <w:rFonts w:hint="eastAsia" w:cs="Times New Roman" w:asciiTheme="minorEastAsia" w:hAnsiTheme="minorEastAsia" w:eastAsiaTheme="minorEastAsia"/>
          <w:sz w:val="24"/>
          <w:szCs w:val="24"/>
        </w:rPr>
        <w:t>.</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表11   调查对象分年龄组血脂异常患病率</w:t>
      </w:r>
      <w:r>
        <w:rPr>
          <w:rFonts w:hint="eastAsia" w:cs="Times New Roman" w:asciiTheme="minorEastAsia" w:hAnsiTheme="minorEastAsia" w:eastAsiaTheme="minorEastAsia"/>
        </w:rPr>
        <w:t>（%）</w:t>
      </w:r>
    </w:p>
    <w:tbl>
      <w:tblPr>
        <w:tblStyle w:val="11"/>
        <w:tblW w:w="8519" w:type="dxa"/>
        <w:tblInd w:w="0" w:type="dxa"/>
        <w:tblLayout w:type="fixed"/>
        <w:tblCellMar>
          <w:top w:w="0" w:type="dxa"/>
          <w:left w:w="108" w:type="dxa"/>
          <w:bottom w:w="0" w:type="dxa"/>
          <w:right w:w="108" w:type="dxa"/>
        </w:tblCellMar>
      </w:tblPr>
      <w:tblGrid>
        <w:gridCol w:w="1148"/>
        <w:gridCol w:w="908"/>
        <w:gridCol w:w="1397"/>
        <w:gridCol w:w="237"/>
        <w:gridCol w:w="808"/>
        <w:gridCol w:w="1395"/>
        <w:gridCol w:w="237"/>
        <w:gridCol w:w="975"/>
        <w:gridCol w:w="1414"/>
      </w:tblGrid>
      <w:tr>
        <w:tblPrEx>
          <w:tblCellMar>
            <w:top w:w="0" w:type="dxa"/>
            <w:left w:w="108" w:type="dxa"/>
            <w:bottom w:w="0" w:type="dxa"/>
            <w:right w:w="108" w:type="dxa"/>
          </w:tblCellMar>
        </w:tblPrEx>
        <w:trPr>
          <w:trHeight w:val="90" w:hRule="atLeast"/>
        </w:trPr>
        <w:tc>
          <w:tcPr>
            <w:tcW w:w="1148" w:type="dxa"/>
            <w:vMerge w:val="restart"/>
            <w:tcBorders>
              <w:top w:val="single" w:color="auto" w:sz="8" w:space="0"/>
              <w:left w:val="nil"/>
              <w:bottom w:val="single" w:color="000000"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年龄</w:t>
            </w:r>
          </w:p>
        </w:tc>
        <w:tc>
          <w:tcPr>
            <w:tcW w:w="2305"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37"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2203"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237"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2389"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90" w:hRule="atLeast"/>
        </w:trPr>
        <w:tc>
          <w:tcPr>
            <w:tcW w:w="1148" w:type="dxa"/>
            <w:vMerge w:val="continue"/>
            <w:tcBorders>
              <w:top w:val="single" w:color="auto" w:sz="8"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908"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397"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c>
          <w:tcPr>
            <w:tcW w:w="237"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808"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395"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c>
          <w:tcPr>
            <w:tcW w:w="237"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975"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414"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r>
      <w:tr>
        <w:tblPrEx>
          <w:tblCellMar>
            <w:top w:w="0" w:type="dxa"/>
            <w:left w:w="108" w:type="dxa"/>
            <w:bottom w:w="0" w:type="dxa"/>
            <w:right w:w="108" w:type="dxa"/>
          </w:tblCellMar>
        </w:tblPrEx>
        <w:trPr>
          <w:trHeight w:val="90" w:hRule="atLeast"/>
        </w:trPr>
        <w:tc>
          <w:tcPr>
            <w:tcW w:w="1148"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18～</w:t>
            </w:r>
          </w:p>
        </w:tc>
        <w:tc>
          <w:tcPr>
            <w:tcW w:w="908" w:type="dxa"/>
            <w:tcBorders>
              <w:top w:val="single" w:color="auto" w:sz="4" w:space="0"/>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w:t>
            </w:r>
          </w:p>
        </w:tc>
        <w:tc>
          <w:tcPr>
            <w:tcW w:w="1397" w:type="dxa"/>
            <w:tcBorders>
              <w:top w:val="single" w:color="auto" w:sz="4" w:space="0"/>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36.36%</w:t>
            </w:r>
          </w:p>
        </w:tc>
        <w:tc>
          <w:tcPr>
            <w:tcW w:w="237" w:type="dxa"/>
            <w:tcBorders>
              <w:top w:val="single" w:color="auto" w:sz="4" w:space="0"/>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808" w:type="dxa"/>
            <w:tcBorders>
              <w:top w:val="single" w:color="auto" w:sz="4" w:space="0"/>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1395" w:type="dxa"/>
            <w:tcBorders>
              <w:top w:val="single" w:color="auto" w:sz="4" w:space="0"/>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12.50%</w:t>
            </w:r>
          </w:p>
        </w:tc>
        <w:tc>
          <w:tcPr>
            <w:tcW w:w="237" w:type="dxa"/>
            <w:tcBorders>
              <w:top w:val="single" w:color="auto" w:sz="4" w:space="0"/>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975" w:type="dxa"/>
            <w:tcBorders>
              <w:top w:val="single" w:color="auto" w:sz="4" w:space="0"/>
              <w:left w:val="nil"/>
              <w:bottom w:val="nil"/>
              <w:right w:val="nil"/>
            </w:tcBorders>
            <w:noWrap/>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11</w:t>
            </w:r>
          </w:p>
        </w:tc>
        <w:tc>
          <w:tcPr>
            <w:tcW w:w="1414" w:type="dxa"/>
            <w:tcBorders>
              <w:top w:val="single" w:color="auto" w:sz="4" w:space="0"/>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23.91%</w:t>
            </w:r>
          </w:p>
        </w:tc>
      </w:tr>
      <w:tr>
        <w:tblPrEx>
          <w:tblCellMar>
            <w:top w:w="0" w:type="dxa"/>
            <w:left w:w="108" w:type="dxa"/>
            <w:bottom w:w="0" w:type="dxa"/>
            <w:right w:w="108" w:type="dxa"/>
          </w:tblCellMar>
        </w:tblPrEx>
        <w:trPr>
          <w:trHeight w:val="289" w:hRule="atLeast"/>
        </w:trPr>
        <w:tc>
          <w:tcPr>
            <w:tcW w:w="114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30～</w:t>
            </w:r>
          </w:p>
        </w:tc>
        <w:tc>
          <w:tcPr>
            <w:tcW w:w="908"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w:t>
            </w:r>
          </w:p>
        </w:tc>
        <w:tc>
          <w:tcPr>
            <w:tcW w:w="1397"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60.00%</w:t>
            </w:r>
          </w:p>
        </w:tc>
        <w:tc>
          <w:tcPr>
            <w:tcW w:w="237"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808"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w:t>
            </w:r>
          </w:p>
        </w:tc>
        <w:tc>
          <w:tcPr>
            <w:tcW w:w="1395"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20.51%</w:t>
            </w:r>
          </w:p>
        </w:tc>
        <w:tc>
          <w:tcPr>
            <w:tcW w:w="237"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975" w:type="dxa"/>
            <w:tcBorders>
              <w:top w:val="nil"/>
              <w:left w:val="nil"/>
              <w:bottom w:val="nil"/>
              <w:right w:val="nil"/>
            </w:tcBorders>
            <w:noWrap/>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23</w:t>
            </w:r>
          </w:p>
        </w:tc>
        <w:tc>
          <w:tcPr>
            <w:tcW w:w="1414"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35.94%</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40～</w:t>
            </w:r>
          </w:p>
        </w:tc>
        <w:tc>
          <w:tcPr>
            <w:tcW w:w="908"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46</w:t>
            </w:r>
          </w:p>
        </w:tc>
        <w:tc>
          <w:tcPr>
            <w:tcW w:w="1397"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61.33%</w:t>
            </w:r>
          </w:p>
        </w:tc>
        <w:tc>
          <w:tcPr>
            <w:tcW w:w="237"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808"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42</w:t>
            </w:r>
          </w:p>
        </w:tc>
        <w:tc>
          <w:tcPr>
            <w:tcW w:w="1395"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31.34%</w:t>
            </w:r>
          </w:p>
        </w:tc>
        <w:tc>
          <w:tcPr>
            <w:tcW w:w="237"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975" w:type="dxa"/>
            <w:tcBorders>
              <w:top w:val="nil"/>
              <w:left w:val="nil"/>
              <w:bottom w:val="nil"/>
              <w:right w:val="nil"/>
            </w:tcBorders>
            <w:noWrap/>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88</w:t>
            </w:r>
          </w:p>
        </w:tc>
        <w:tc>
          <w:tcPr>
            <w:tcW w:w="1414"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42.11%</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50～</w:t>
            </w:r>
          </w:p>
        </w:tc>
        <w:tc>
          <w:tcPr>
            <w:tcW w:w="908"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83</w:t>
            </w:r>
          </w:p>
        </w:tc>
        <w:tc>
          <w:tcPr>
            <w:tcW w:w="1397"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56.46%</w:t>
            </w:r>
          </w:p>
        </w:tc>
        <w:tc>
          <w:tcPr>
            <w:tcW w:w="237"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808"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88</w:t>
            </w:r>
          </w:p>
        </w:tc>
        <w:tc>
          <w:tcPr>
            <w:tcW w:w="1395"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47.06%</w:t>
            </w:r>
          </w:p>
        </w:tc>
        <w:tc>
          <w:tcPr>
            <w:tcW w:w="237"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975" w:type="dxa"/>
            <w:tcBorders>
              <w:top w:val="nil"/>
              <w:left w:val="nil"/>
              <w:bottom w:val="nil"/>
              <w:right w:val="nil"/>
            </w:tcBorders>
            <w:noWrap/>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171</w:t>
            </w:r>
          </w:p>
        </w:tc>
        <w:tc>
          <w:tcPr>
            <w:tcW w:w="1414"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51.20%</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60～</w:t>
            </w:r>
          </w:p>
        </w:tc>
        <w:tc>
          <w:tcPr>
            <w:tcW w:w="908"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69</w:t>
            </w:r>
          </w:p>
        </w:tc>
        <w:tc>
          <w:tcPr>
            <w:tcW w:w="1397"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48.59%</w:t>
            </w:r>
          </w:p>
        </w:tc>
        <w:tc>
          <w:tcPr>
            <w:tcW w:w="237"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808"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119</w:t>
            </w:r>
          </w:p>
        </w:tc>
        <w:tc>
          <w:tcPr>
            <w:tcW w:w="1395"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60.10%</w:t>
            </w:r>
          </w:p>
        </w:tc>
        <w:tc>
          <w:tcPr>
            <w:tcW w:w="237"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975" w:type="dxa"/>
            <w:tcBorders>
              <w:top w:val="nil"/>
              <w:left w:val="nil"/>
              <w:bottom w:val="nil"/>
              <w:right w:val="nil"/>
            </w:tcBorders>
            <w:noWrap/>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188</w:t>
            </w:r>
          </w:p>
        </w:tc>
        <w:tc>
          <w:tcPr>
            <w:tcW w:w="1414"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55.29%</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70～</w:t>
            </w:r>
          </w:p>
        </w:tc>
        <w:tc>
          <w:tcPr>
            <w:tcW w:w="908"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54</w:t>
            </w:r>
          </w:p>
        </w:tc>
        <w:tc>
          <w:tcPr>
            <w:tcW w:w="1397"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48.65%</w:t>
            </w:r>
          </w:p>
        </w:tc>
        <w:tc>
          <w:tcPr>
            <w:tcW w:w="237"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808" w:type="dxa"/>
            <w:tcBorders>
              <w:top w:val="nil"/>
              <w:left w:val="nil"/>
              <w:bottom w:val="nil"/>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65</w:t>
            </w:r>
          </w:p>
        </w:tc>
        <w:tc>
          <w:tcPr>
            <w:tcW w:w="1395"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63.73%</w:t>
            </w:r>
          </w:p>
        </w:tc>
        <w:tc>
          <w:tcPr>
            <w:tcW w:w="237" w:type="dxa"/>
            <w:tcBorders>
              <w:top w:val="nil"/>
              <w:left w:val="nil"/>
              <w:bottom w:val="nil"/>
              <w:right w:val="nil"/>
            </w:tcBorders>
            <w:vAlign w:val="center"/>
          </w:tcPr>
          <w:p>
            <w:pPr>
              <w:spacing w:line="360" w:lineRule="auto"/>
              <w:rPr>
                <w:rFonts w:cs="宋体" w:asciiTheme="minorEastAsia" w:hAnsiTheme="minorEastAsia" w:eastAsiaTheme="minorEastAsia"/>
                <w:color w:val="000000"/>
                <w:sz w:val="21"/>
                <w:szCs w:val="21"/>
              </w:rPr>
            </w:pPr>
          </w:p>
        </w:tc>
        <w:tc>
          <w:tcPr>
            <w:tcW w:w="975" w:type="dxa"/>
            <w:tcBorders>
              <w:top w:val="nil"/>
              <w:left w:val="nil"/>
              <w:bottom w:val="nil"/>
              <w:right w:val="nil"/>
            </w:tcBorders>
            <w:noWrap/>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119</w:t>
            </w:r>
          </w:p>
        </w:tc>
        <w:tc>
          <w:tcPr>
            <w:tcW w:w="1414" w:type="dxa"/>
            <w:tcBorders>
              <w:top w:val="nil"/>
              <w:left w:val="nil"/>
              <w:bottom w:val="nil"/>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55.87%</w:t>
            </w:r>
          </w:p>
        </w:tc>
      </w:tr>
      <w:tr>
        <w:tblPrEx>
          <w:tblCellMar>
            <w:top w:w="0" w:type="dxa"/>
            <w:left w:w="108" w:type="dxa"/>
            <w:bottom w:w="0" w:type="dxa"/>
            <w:right w:w="108" w:type="dxa"/>
          </w:tblCellMar>
        </w:tblPrEx>
        <w:trPr>
          <w:trHeight w:val="243" w:hRule="atLeast"/>
        </w:trPr>
        <w:tc>
          <w:tcPr>
            <w:tcW w:w="1148" w:type="dxa"/>
            <w:tcBorders>
              <w:top w:val="nil"/>
              <w:left w:val="nil"/>
              <w:bottom w:val="single" w:color="auto" w:sz="8"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80～</w:t>
            </w:r>
          </w:p>
        </w:tc>
        <w:tc>
          <w:tcPr>
            <w:tcW w:w="908" w:type="dxa"/>
            <w:tcBorders>
              <w:top w:val="nil"/>
              <w:left w:val="nil"/>
              <w:bottom w:val="single" w:color="auto" w:sz="8" w:space="0"/>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w:t>
            </w:r>
          </w:p>
        </w:tc>
        <w:tc>
          <w:tcPr>
            <w:tcW w:w="1397" w:type="dxa"/>
            <w:tcBorders>
              <w:top w:val="nil"/>
              <w:left w:val="nil"/>
              <w:bottom w:val="single" w:color="auto" w:sz="8" w:space="0"/>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42.42%</w:t>
            </w:r>
          </w:p>
        </w:tc>
        <w:tc>
          <w:tcPr>
            <w:tcW w:w="237" w:type="dxa"/>
            <w:tcBorders>
              <w:top w:val="nil"/>
              <w:left w:val="nil"/>
              <w:bottom w:val="single" w:color="auto" w:sz="8" w:space="0"/>
              <w:right w:val="nil"/>
            </w:tcBorders>
            <w:vAlign w:val="center"/>
          </w:tcPr>
          <w:p>
            <w:pPr>
              <w:spacing w:line="360" w:lineRule="auto"/>
              <w:rPr>
                <w:rFonts w:cs="宋体" w:asciiTheme="minorEastAsia" w:hAnsiTheme="minorEastAsia" w:eastAsiaTheme="minorEastAsia"/>
                <w:color w:val="000000"/>
                <w:sz w:val="21"/>
                <w:szCs w:val="21"/>
              </w:rPr>
            </w:pPr>
          </w:p>
        </w:tc>
        <w:tc>
          <w:tcPr>
            <w:tcW w:w="808" w:type="dxa"/>
            <w:tcBorders>
              <w:top w:val="nil"/>
              <w:left w:val="nil"/>
              <w:bottom w:val="single" w:color="auto" w:sz="8" w:space="0"/>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29</w:t>
            </w:r>
          </w:p>
        </w:tc>
        <w:tc>
          <w:tcPr>
            <w:tcW w:w="1395" w:type="dxa"/>
            <w:tcBorders>
              <w:top w:val="nil"/>
              <w:left w:val="nil"/>
              <w:bottom w:val="single" w:color="auto" w:sz="8" w:space="0"/>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60.42%</w:t>
            </w:r>
          </w:p>
        </w:tc>
        <w:tc>
          <w:tcPr>
            <w:tcW w:w="237" w:type="dxa"/>
            <w:tcBorders>
              <w:top w:val="nil"/>
              <w:left w:val="nil"/>
              <w:bottom w:val="single" w:color="auto" w:sz="8" w:space="0"/>
              <w:right w:val="nil"/>
            </w:tcBorders>
            <w:vAlign w:val="center"/>
          </w:tcPr>
          <w:p>
            <w:pPr>
              <w:spacing w:line="360" w:lineRule="auto"/>
              <w:rPr>
                <w:rFonts w:cs="宋体" w:asciiTheme="minorEastAsia" w:hAnsiTheme="minorEastAsia" w:eastAsiaTheme="minorEastAsia"/>
                <w:color w:val="000000"/>
                <w:sz w:val="21"/>
                <w:szCs w:val="21"/>
              </w:rPr>
            </w:pPr>
          </w:p>
        </w:tc>
        <w:tc>
          <w:tcPr>
            <w:tcW w:w="975" w:type="dxa"/>
            <w:tcBorders>
              <w:top w:val="nil"/>
              <w:left w:val="nil"/>
              <w:bottom w:val="single" w:color="auto" w:sz="8" w:space="0"/>
              <w:right w:val="nil"/>
            </w:tcBorders>
            <w:noWrap/>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43</w:t>
            </w:r>
          </w:p>
        </w:tc>
        <w:tc>
          <w:tcPr>
            <w:tcW w:w="1414" w:type="dxa"/>
            <w:tcBorders>
              <w:top w:val="nil"/>
              <w:left w:val="nil"/>
              <w:bottom w:val="single" w:color="auto" w:sz="8" w:space="0"/>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53.09%</w:t>
            </w:r>
          </w:p>
        </w:tc>
      </w:tr>
      <w:tr>
        <w:tblPrEx>
          <w:tblCellMar>
            <w:top w:w="0" w:type="dxa"/>
            <w:left w:w="108" w:type="dxa"/>
            <w:bottom w:w="0" w:type="dxa"/>
            <w:right w:w="108" w:type="dxa"/>
          </w:tblCellMar>
        </w:tblPrEx>
        <w:trPr>
          <w:trHeight w:val="90" w:hRule="atLeast"/>
        </w:trPr>
        <w:tc>
          <w:tcPr>
            <w:tcW w:w="1148" w:type="dxa"/>
            <w:tcBorders>
              <w:top w:val="nil"/>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908" w:type="dxa"/>
            <w:tcBorders>
              <w:top w:val="nil"/>
              <w:left w:val="nil"/>
              <w:bottom w:val="single" w:color="auto" w:sz="8" w:space="0"/>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289</w:t>
            </w:r>
          </w:p>
        </w:tc>
        <w:tc>
          <w:tcPr>
            <w:tcW w:w="1397" w:type="dxa"/>
            <w:tcBorders>
              <w:top w:val="nil"/>
              <w:left w:val="nil"/>
              <w:bottom w:val="single" w:color="auto" w:sz="8" w:space="0"/>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52.07%</w:t>
            </w:r>
          </w:p>
        </w:tc>
        <w:tc>
          <w:tcPr>
            <w:tcW w:w="237" w:type="dxa"/>
            <w:tcBorders>
              <w:top w:val="nil"/>
              <w:left w:val="nil"/>
              <w:bottom w:val="single" w:color="auto" w:sz="8" w:space="0"/>
              <w:right w:val="nil"/>
            </w:tcBorders>
            <w:vAlign w:val="center"/>
          </w:tcPr>
          <w:p>
            <w:pPr>
              <w:spacing w:line="360" w:lineRule="auto"/>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808" w:type="dxa"/>
            <w:tcBorders>
              <w:top w:val="nil"/>
              <w:left w:val="nil"/>
              <w:bottom w:val="single" w:color="auto" w:sz="8" w:space="0"/>
              <w:right w:val="nil"/>
            </w:tcBorders>
            <w:noWrap/>
          </w:tcPr>
          <w:p>
            <w:pPr>
              <w:spacing w:line="360" w:lineRule="auto"/>
              <w:jc w:val="right"/>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354</w:t>
            </w:r>
          </w:p>
        </w:tc>
        <w:tc>
          <w:tcPr>
            <w:tcW w:w="1395" w:type="dxa"/>
            <w:tcBorders>
              <w:top w:val="nil"/>
              <w:left w:val="nil"/>
              <w:bottom w:val="single" w:color="auto" w:sz="8" w:space="0"/>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48.36%</w:t>
            </w:r>
          </w:p>
        </w:tc>
        <w:tc>
          <w:tcPr>
            <w:tcW w:w="237" w:type="dxa"/>
            <w:tcBorders>
              <w:top w:val="nil"/>
              <w:left w:val="nil"/>
              <w:bottom w:val="single" w:color="auto" w:sz="8" w:space="0"/>
              <w:right w:val="nil"/>
            </w:tcBorders>
            <w:vAlign w:val="center"/>
          </w:tcPr>
          <w:p>
            <w:pPr>
              <w:spacing w:line="360" w:lineRule="auto"/>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975" w:type="dxa"/>
            <w:tcBorders>
              <w:top w:val="nil"/>
              <w:left w:val="nil"/>
              <w:bottom w:val="single" w:color="auto" w:sz="8" w:space="0"/>
              <w:right w:val="nil"/>
            </w:tcBorders>
            <w:noWrap/>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643</w:t>
            </w:r>
          </w:p>
        </w:tc>
        <w:tc>
          <w:tcPr>
            <w:tcW w:w="1414" w:type="dxa"/>
            <w:tcBorders>
              <w:top w:val="nil"/>
              <w:left w:val="nil"/>
              <w:bottom w:val="single" w:color="auto" w:sz="8" w:space="0"/>
              <w:right w:val="nil"/>
            </w:tcBorders>
          </w:tcPr>
          <w:p>
            <w:pPr>
              <w:spacing w:line="360" w:lineRule="auto"/>
              <w:jc w:val="right"/>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49.96%</w:t>
            </w:r>
          </w:p>
        </w:tc>
      </w:tr>
    </w:tbl>
    <w:p>
      <w:pPr>
        <w:spacing w:beforeLines="50" w:afterLines="50" w:line="360" w:lineRule="auto"/>
        <w:ind w:firstLine="440" w:firstLineChars="200"/>
        <w:rPr>
          <w:rFonts w:ascii="Calibri" w:hAnsi="Calibri" w:eastAsia="宋体" w:cs="Times New Roman"/>
        </w:rPr>
      </w:pPr>
      <w:r>
        <w:rPr>
          <w:rFonts w:ascii="Calibri" w:hAnsi="Calibri" w:eastAsia="宋体" w:cs="Times New Roman"/>
        </w:rPr>
        <w:drawing>
          <wp:inline distT="0" distB="0" distL="0" distR="0">
            <wp:extent cx="5274310" cy="2312035"/>
            <wp:effectExtent l="19050" t="0" r="21590" b="0"/>
            <wp:docPr id="19"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spacing w:beforeLines="50" w:afterLines="50" w:line="360" w:lineRule="auto"/>
        <w:ind w:firstLine="440" w:firstLineChars="200"/>
        <w:jc w:val="center"/>
        <w:rPr>
          <w:rFonts w:cs="Times New Roman" w:asciiTheme="minorEastAsia" w:hAnsiTheme="minorEastAsia" w:eastAsiaTheme="minorEastAsia"/>
        </w:rPr>
      </w:pPr>
      <w:r>
        <w:rPr>
          <w:rFonts w:hint="eastAsia" w:cs="Times New Roman" w:asciiTheme="minorEastAsia" w:hAnsiTheme="minorEastAsia" w:eastAsiaTheme="minorEastAsia"/>
        </w:rPr>
        <w:t>图</w:t>
      </w:r>
      <w:r>
        <w:rPr>
          <w:rFonts w:cs="Times New Roman" w:asciiTheme="minorEastAsia" w:hAnsiTheme="minorEastAsia" w:eastAsiaTheme="minorEastAsia"/>
        </w:rPr>
        <w:t>25</w:t>
      </w:r>
      <w:r>
        <w:rPr>
          <w:rFonts w:hint="eastAsia" w:cs="Times New Roman" w:asciiTheme="minorEastAsia" w:hAnsiTheme="minorEastAsia" w:eastAsiaTheme="minorEastAsia"/>
        </w:rPr>
        <w:t xml:space="preserve">    调查对象分年龄组血脂异常患病率（%）</w:t>
      </w:r>
    </w:p>
    <w:p>
      <w:pPr>
        <w:spacing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 xml:space="preserve">6.3 </w:t>
      </w:r>
      <w:r>
        <w:rPr>
          <w:rFonts w:hint="eastAsia" w:asciiTheme="minorEastAsia" w:hAnsiTheme="minorEastAsia" w:eastAsiaTheme="minorEastAsia"/>
          <w:sz w:val="24"/>
          <w:szCs w:val="24"/>
        </w:rPr>
        <w:t>血脂异常</w:t>
      </w:r>
      <w:r>
        <w:rPr>
          <w:rFonts w:hint="eastAsia" w:cs="Times New Roman" w:asciiTheme="minorEastAsia" w:hAnsiTheme="minorEastAsia" w:eastAsiaTheme="minorEastAsia"/>
          <w:sz w:val="24"/>
          <w:szCs w:val="24"/>
        </w:rPr>
        <w:t>知晓率</w:t>
      </w:r>
      <w:r>
        <w:rPr>
          <w:rFonts w:hint="eastAsia" w:asciiTheme="minorEastAsia" w:hAnsiTheme="minorEastAsia" w:eastAsiaTheme="minorEastAsia"/>
          <w:sz w:val="24"/>
          <w:szCs w:val="24"/>
        </w:rPr>
        <w:t>情况</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643名血脂异常患者中，既往被医生诊断过血脂异常的有223人，血脂异常知晓率为34.68%，男、女性人群中血脂异常知晓率分别为33.22%（96/289）、35.88%（127/354），女性血脂异常知晓率高于男性血脂异常知晓率（但是</w:t>
      </w:r>
      <w:r>
        <w:rPr>
          <w:rFonts w:cs="Times New Roman" w:asciiTheme="minorEastAsia" w:hAnsiTheme="minorEastAsia" w:eastAsiaTheme="minorEastAsia"/>
          <w:sz w:val="24"/>
          <w:szCs w:val="24"/>
        </w:rPr>
        <w:t>P&gt;0.05</w:t>
      </w:r>
      <w:r>
        <w:rPr>
          <w:rFonts w:hint="eastAsia" w:cs="Times New Roman" w:asciiTheme="minorEastAsia" w:hAnsiTheme="minorEastAsia" w:eastAsiaTheme="minorEastAsia"/>
          <w:sz w:val="24"/>
          <w:szCs w:val="24"/>
        </w:rPr>
        <w:t>没有统计学意义）。调查人群18～、30～、40～、50～、60～、70～、80～年龄组血脂异常知晓率分别为0.00%、17.39%、35.23%、35.67%、42.55%、31.09%、23.26%。</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6.4血脂异常治疗率情况</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223名血脂异常知晓者中，近两周内采用调脂药物治疗的有49人，血脂异常治疗率为21.97%，男、女性居民中血脂异常治疗率分别为22.92%（22/96）、21.26%（27/127）。调查人群18～、30～、40～、50～、60～、70～、80～年龄组血脂异常治疗率分别为0.00%、0.00%、6.45%、19.67%、26.25%、32.43%、20.00%。70～79岁血脂异常治疗率最高。</w:t>
      </w:r>
    </w:p>
    <w:p>
      <w:pPr>
        <w:spacing w:beforeLines="50" w:afterLines="50" w:line="360" w:lineRule="auto"/>
        <w:ind w:firstLine="482" w:firstLineChars="200"/>
        <w:rPr>
          <w:rFonts w:cs="Times New Roman" w:asciiTheme="minorEastAsia" w:hAnsiTheme="minorEastAsia" w:eastAsiaTheme="minorEastAsia"/>
          <w:sz w:val="24"/>
          <w:szCs w:val="24"/>
        </w:rPr>
      </w:pPr>
      <w:r>
        <w:rPr>
          <w:rFonts w:hint="eastAsia" w:asciiTheme="minorEastAsia" w:hAnsiTheme="minorEastAsia" w:eastAsiaTheme="minorEastAsia"/>
          <w:b/>
          <w:sz w:val="24"/>
          <w:szCs w:val="24"/>
        </w:rPr>
        <w:t>7、超重、肥胖情况</w:t>
      </w:r>
    </w:p>
    <w:p>
      <w:pPr>
        <w:spacing w:line="360" w:lineRule="auto"/>
        <w:ind w:firstLine="482" w:firstLineChars="200"/>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7.1  超重</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调查人群超重患病率为40.39%，男性超重患病率为45.75%，女性人群超重患病率为36.31%。男性患病率高于女性患病率。18～、30～、40～、50～、60～、70～、80～年龄组超重患病率分别为18.18%、25.00%、36.84%、45.18%、46.18%、40.95%、28.40%。50～79岁组超重患病率最高。用全国2010年第六次人口普查数据性别年龄标化后，调查人群的标化超重患病率为</w:t>
      </w:r>
      <w:r>
        <w:rPr>
          <w:rFonts w:cs="Times New Roman" w:asciiTheme="minorEastAsia" w:hAnsiTheme="minorEastAsia" w:eastAsiaTheme="minorEastAsia"/>
          <w:sz w:val="24"/>
          <w:szCs w:val="24"/>
        </w:rPr>
        <w:t>29.12</w:t>
      </w:r>
      <w:r>
        <w:rPr>
          <w:rFonts w:hint="eastAsia" w:cs="Times New Roman" w:asciiTheme="minorEastAsia" w:hAnsiTheme="minorEastAsia" w:eastAsiaTheme="minorEastAsia"/>
          <w:sz w:val="24"/>
          <w:szCs w:val="24"/>
        </w:rPr>
        <w:t>%，男性标化超重患病率为</w:t>
      </w:r>
      <w:r>
        <w:rPr>
          <w:rFonts w:cs="Times New Roman" w:asciiTheme="minorEastAsia" w:hAnsiTheme="minorEastAsia" w:eastAsiaTheme="minorEastAsia"/>
          <w:sz w:val="24"/>
          <w:szCs w:val="24"/>
        </w:rPr>
        <w:t>34.82</w:t>
      </w:r>
      <w:r>
        <w:rPr>
          <w:rFonts w:hint="eastAsia" w:cs="Times New Roman" w:asciiTheme="minorEastAsia" w:hAnsiTheme="minorEastAsia" w:eastAsiaTheme="minorEastAsia"/>
          <w:sz w:val="24"/>
          <w:szCs w:val="24"/>
        </w:rPr>
        <w:t>%，女性为</w:t>
      </w:r>
      <w:r>
        <w:rPr>
          <w:rFonts w:cs="Times New Roman" w:asciiTheme="minorEastAsia" w:hAnsiTheme="minorEastAsia" w:eastAsiaTheme="minorEastAsia"/>
          <w:sz w:val="24"/>
          <w:szCs w:val="24"/>
        </w:rPr>
        <w:t>23.30</w:t>
      </w:r>
      <w:r>
        <w:rPr>
          <w:rFonts w:hint="eastAsia" w:cs="Times New Roman" w:asciiTheme="minorEastAsia" w:hAnsiTheme="minorEastAsia" w:eastAsiaTheme="minorEastAsia"/>
          <w:sz w:val="24"/>
          <w:szCs w:val="24"/>
        </w:rPr>
        <w:t>%。见表12. 见图</w:t>
      </w:r>
      <w:r>
        <w:rPr>
          <w:rFonts w:cs="Times New Roman" w:asciiTheme="minorEastAsia" w:hAnsiTheme="minorEastAsia" w:eastAsiaTheme="minorEastAsia"/>
          <w:sz w:val="24"/>
          <w:szCs w:val="24"/>
        </w:rPr>
        <w:t>26</w:t>
      </w:r>
      <w:r>
        <w:rPr>
          <w:rFonts w:hint="eastAsia" w:cs="Times New Roman" w:asciiTheme="minorEastAsia" w:hAnsiTheme="minorEastAsia" w:eastAsiaTheme="minorEastAsia"/>
          <w:sz w:val="24"/>
          <w:szCs w:val="24"/>
        </w:rPr>
        <w:t>.</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表12   调查对象分年龄组超重患病率</w:t>
      </w:r>
      <w:r>
        <w:rPr>
          <w:rFonts w:hint="eastAsia" w:cs="Times New Roman" w:asciiTheme="minorEastAsia" w:hAnsiTheme="minorEastAsia" w:eastAsiaTheme="minorEastAsia"/>
        </w:rPr>
        <w:t>（%）</w:t>
      </w:r>
    </w:p>
    <w:tbl>
      <w:tblPr>
        <w:tblStyle w:val="11"/>
        <w:tblW w:w="8519" w:type="dxa"/>
        <w:tblInd w:w="0" w:type="dxa"/>
        <w:tblLayout w:type="fixed"/>
        <w:tblCellMar>
          <w:top w:w="0" w:type="dxa"/>
          <w:left w:w="108" w:type="dxa"/>
          <w:bottom w:w="0" w:type="dxa"/>
          <w:right w:w="108" w:type="dxa"/>
        </w:tblCellMar>
      </w:tblPr>
      <w:tblGrid>
        <w:gridCol w:w="1149"/>
        <w:gridCol w:w="1153"/>
        <w:gridCol w:w="1153"/>
        <w:gridCol w:w="237"/>
        <w:gridCol w:w="1101"/>
        <w:gridCol w:w="1102"/>
        <w:gridCol w:w="237"/>
        <w:gridCol w:w="1194"/>
        <w:gridCol w:w="1193"/>
      </w:tblGrid>
      <w:tr>
        <w:tblPrEx>
          <w:tblCellMar>
            <w:top w:w="0" w:type="dxa"/>
            <w:left w:w="108" w:type="dxa"/>
            <w:bottom w:w="0" w:type="dxa"/>
            <w:right w:w="108" w:type="dxa"/>
          </w:tblCellMar>
        </w:tblPrEx>
        <w:trPr>
          <w:trHeight w:val="90" w:hRule="atLeast"/>
        </w:trPr>
        <w:tc>
          <w:tcPr>
            <w:tcW w:w="1149" w:type="dxa"/>
            <w:vMerge w:val="restart"/>
            <w:tcBorders>
              <w:top w:val="single" w:color="auto" w:sz="8" w:space="0"/>
              <w:left w:val="nil"/>
              <w:bottom w:val="single" w:color="000000"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年龄</w:t>
            </w:r>
          </w:p>
        </w:tc>
        <w:tc>
          <w:tcPr>
            <w:tcW w:w="2306"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37"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2203"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237"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2387"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90" w:hRule="atLeast"/>
        </w:trPr>
        <w:tc>
          <w:tcPr>
            <w:tcW w:w="1149" w:type="dxa"/>
            <w:vMerge w:val="continue"/>
            <w:tcBorders>
              <w:top w:val="single" w:color="auto" w:sz="8"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1153"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153"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c>
          <w:tcPr>
            <w:tcW w:w="237"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1101"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102"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c>
          <w:tcPr>
            <w:tcW w:w="237"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1194"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193"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r>
      <w:tr>
        <w:tblPrEx>
          <w:tblCellMar>
            <w:top w:w="0" w:type="dxa"/>
            <w:left w:w="108" w:type="dxa"/>
            <w:bottom w:w="0" w:type="dxa"/>
            <w:right w:w="108" w:type="dxa"/>
          </w:tblCellMar>
        </w:tblPrEx>
        <w:trPr>
          <w:trHeight w:val="90" w:hRule="atLeast"/>
        </w:trPr>
        <w:tc>
          <w:tcPr>
            <w:tcW w:w="1149"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18～</w:t>
            </w:r>
          </w:p>
        </w:tc>
        <w:tc>
          <w:tcPr>
            <w:tcW w:w="1153"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w:t>
            </w:r>
          </w:p>
        </w:tc>
        <w:tc>
          <w:tcPr>
            <w:tcW w:w="1153"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31.82%</w:t>
            </w:r>
          </w:p>
        </w:tc>
        <w:tc>
          <w:tcPr>
            <w:tcW w:w="237" w:type="dxa"/>
            <w:tcBorders>
              <w:top w:val="single" w:color="auto" w:sz="4" w:space="0"/>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102"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4.55%</w:t>
            </w:r>
          </w:p>
        </w:tc>
        <w:tc>
          <w:tcPr>
            <w:tcW w:w="237" w:type="dxa"/>
            <w:tcBorders>
              <w:top w:val="single" w:color="auto" w:sz="4" w:space="0"/>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w:t>
            </w:r>
          </w:p>
        </w:tc>
        <w:tc>
          <w:tcPr>
            <w:tcW w:w="1193"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18.18%</w:t>
            </w:r>
          </w:p>
        </w:tc>
      </w:tr>
      <w:tr>
        <w:tblPrEx>
          <w:tblCellMar>
            <w:top w:w="0" w:type="dxa"/>
            <w:left w:w="108" w:type="dxa"/>
            <w:bottom w:w="0" w:type="dxa"/>
            <w:right w:w="108" w:type="dxa"/>
          </w:tblCellMar>
        </w:tblPrEx>
        <w:trPr>
          <w:trHeight w:val="289" w:hRule="atLeast"/>
        </w:trPr>
        <w:tc>
          <w:tcPr>
            <w:tcW w:w="114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30～</w:t>
            </w:r>
          </w:p>
        </w:tc>
        <w:tc>
          <w:tcPr>
            <w:tcW w:w="11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w:t>
            </w:r>
          </w:p>
        </w:tc>
        <w:tc>
          <w:tcPr>
            <w:tcW w:w="115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44.00%</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w:t>
            </w:r>
          </w:p>
        </w:tc>
        <w:tc>
          <w:tcPr>
            <w:tcW w:w="110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12.82%</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16</w:t>
            </w:r>
          </w:p>
        </w:tc>
        <w:tc>
          <w:tcPr>
            <w:tcW w:w="119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25.00%</w:t>
            </w:r>
          </w:p>
        </w:tc>
      </w:tr>
      <w:tr>
        <w:tblPrEx>
          <w:tblCellMar>
            <w:top w:w="0" w:type="dxa"/>
            <w:left w:w="108" w:type="dxa"/>
            <w:bottom w:w="0" w:type="dxa"/>
            <w:right w:w="108" w:type="dxa"/>
          </w:tblCellMar>
        </w:tblPrEx>
        <w:trPr>
          <w:trHeight w:val="90" w:hRule="atLeast"/>
        </w:trPr>
        <w:tc>
          <w:tcPr>
            <w:tcW w:w="114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40～</w:t>
            </w:r>
          </w:p>
        </w:tc>
        <w:tc>
          <w:tcPr>
            <w:tcW w:w="11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41</w:t>
            </w:r>
          </w:p>
        </w:tc>
        <w:tc>
          <w:tcPr>
            <w:tcW w:w="115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54.67%</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36</w:t>
            </w:r>
          </w:p>
        </w:tc>
        <w:tc>
          <w:tcPr>
            <w:tcW w:w="110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26.87%</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77</w:t>
            </w:r>
          </w:p>
        </w:tc>
        <w:tc>
          <w:tcPr>
            <w:tcW w:w="119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36.84%</w:t>
            </w:r>
          </w:p>
        </w:tc>
      </w:tr>
      <w:tr>
        <w:tblPrEx>
          <w:tblCellMar>
            <w:top w:w="0" w:type="dxa"/>
            <w:left w:w="108" w:type="dxa"/>
            <w:bottom w:w="0" w:type="dxa"/>
            <w:right w:w="108" w:type="dxa"/>
          </w:tblCellMar>
        </w:tblPrEx>
        <w:trPr>
          <w:trHeight w:val="90" w:hRule="atLeast"/>
        </w:trPr>
        <w:tc>
          <w:tcPr>
            <w:tcW w:w="114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50～</w:t>
            </w:r>
          </w:p>
        </w:tc>
        <w:tc>
          <w:tcPr>
            <w:tcW w:w="11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68</w:t>
            </w:r>
          </w:p>
        </w:tc>
        <w:tc>
          <w:tcPr>
            <w:tcW w:w="115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46.58%</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82</w:t>
            </w:r>
          </w:p>
        </w:tc>
        <w:tc>
          <w:tcPr>
            <w:tcW w:w="110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44.09%</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150</w:t>
            </w:r>
          </w:p>
        </w:tc>
        <w:tc>
          <w:tcPr>
            <w:tcW w:w="119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45.18%</w:t>
            </w:r>
          </w:p>
        </w:tc>
      </w:tr>
      <w:tr>
        <w:tblPrEx>
          <w:tblCellMar>
            <w:top w:w="0" w:type="dxa"/>
            <w:left w:w="108" w:type="dxa"/>
            <w:bottom w:w="0" w:type="dxa"/>
            <w:right w:w="108" w:type="dxa"/>
          </w:tblCellMar>
        </w:tblPrEx>
        <w:trPr>
          <w:trHeight w:val="90" w:hRule="atLeast"/>
        </w:trPr>
        <w:tc>
          <w:tcPr>
            <w:tcW w:w="114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60～</w:t>
            </w:r>
          </w:p>
        </w:tc>
        <w:tc>
          <w:tcPr>
            <w:tcW w:w="11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71</w:t>
            </w:r>
          </w:p>
        </w:tc>
        <w:tc>
          <w:tcPr>
            <w:tcW w:w="115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50.00%</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86</w:t>
            </w:r>
          </w:p>
        </w:tc>
        <w:tc>
          <w:tcPr>
            <w:tcW w:w="110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43.43%</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157</w:t>
            </w:r>
          </w:p>
        </w:tc>
        <w:tc>
          <w:tcPr>
            <w:tcW w:w="119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46.18%</w:t>
            </w:r>
          </w:p>
        </w:tc>
      </w:tr>
      <w:tr>
        <w:tblPrEx>
          <w:tblCellMar>
            <w:top w:w="0" w:type="dxa"/>
            <w:left w:w="108" w:type="dxa"/>
            <w:bottom w:w="0" w:type="dxa"/>
            <w:right w:w="108" w:type="dxa"/>
          </w:tblCellMar>
        </w:tblPrEx>
        <w:trPr>
          <w:trHeight w:val="90" w:hRule="atLeast"/>
        </w:trPr>
        <w:tc>
          <w:tcPr>
            <w:tcW w:w="114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70～</w:t>
            </w:r>
          </w:p>
        </w:tc>
        <w:tc>
          <w:tcPr>
            <w:tcW w:w="11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45</w:t>
            </w:r>
          </w:p>
        </w:tc>
        <w:tc>
          <w:tcPr>
            <w:tcW w:w="115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40.91%</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41</w:t>
            </w:r>
          </w:p>
        </w:tc>
        <w:tc>
          <w:tcPr>
            <w:tcW w:w="110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41.00%</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86</w:t>
            </w:r>
          </w:p>
        </w:tc>
        <w:tc>
          <w:tcPr>
            <w:tcW w:w="119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40.95%</w:t>
            </w:r>
          </w:p>
        </w:tc>
      </w:tr>
      <w:tr>
        <w:tblPrEx>
          <w:tblCellMar>
            <w:top w:w="0" w:type="dxa"/>
            <w:left w:w="108" w:type="dxa"/>
            <w:bottom w:w="0" w:type="dxa"/>
            <w:right w:w="108" w:type="dxa"/>
          </w:tblCellMar>
        </w:tblPrEx>
        <w:trPr>
          <w:trHeight w:val="243" w:hRule="atLeast"/>
        </w:trPr>
        <w:tc>
          <w:tcPr>
            <w:tcW w:w="1149" w:type="dxa"/>
            <w:tcBorders>
              <w:top w:val="nil"/>
              <w:left w:val="nil"/>
              <w:bottom w:val="single" w:color="auto" w:sz="8"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80～</w:t>
            </w:r>
          </w:p>
        </w:tc>
        <w:tc>
          <w:tcPr>
            <w:tcW w:w="1153"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w:t>
            </w:r>
          </w:p>
        </w:tc>
        <w:tc>
          <w:tcPr>
            <w:tcW w:w="1153"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30.30%</w:t>
            </w:r>
          </w:p>
        </w:tc>
        <w:tc>
          <w:tcPr>
            <w:tcW w:w="237"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w:t>
            </w:r>
          </w:p>
        </w:tc>
        <w:tc>
          <w:tcPr>
            <w:tcW w:w="1102"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27.08%</w:t>
            </w:r>
          </w:p>
        </w:tc>
        <w:tc>
          <w:tcPr>
            <w:tcW w:w="237"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23</w:t>
            </w:r>
          </w:p>
        </w:tc>
        <w:tc>
          <w:tcPr>
            <w:tcW w:w="1193"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28.40%</w:t>
            </w:r>
          </w:p>
        </w:tc>
      </w:tr>
      <w:tr>
        <w:tblPrEx>
          <w:tblCellMar>
            <w:top w:w="0" w:type="dxa"/>
            <w:left w:w="108" w:type="dxa"/>
            <w:bottom w:w="0" w:type="dxa"/>
            <w:right w:w="108" w:type="dxa"/>
          </w:tblCellMar>
        </w:tblPrEx>
        <w:trPr>
          <w:trHeight w:val="90" w:hRule="atLeast"/>
        </w:trPr>
        <w:tc>
          <w:tcPr>
            <w:tcW w:w="1149" w:type="dxa"/>
            <w:tcBorders>
              <w:top w:val="nil"/>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1153"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253</w:t>
            </w:r>
          </w:p>
        </w:tc>
        <w:tc>
          <w:tcPr>
            <w:tcW w:w="1153"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45.75%</w:t>
            </w:r>
          </w:p>
        </w:tc>
        <w:tc>
          <w:tcPr>
            <w:tcW w:w="237"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264</w:t>
            </w:r>
          </w:p>
        </w:tc>
        <w:tc>
          <w:tcPr>
            <w:tcW w:w="1102"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36.31%</w:t>
            </w:r>
          </w:p>
        </w:tc>
        <w:tc>
          <w:tcPr>
            <w:tcW w:w="237"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517</w:t>
            </w:r>
          </w:p>
        </w:tc>
        <w:tc>
          <w:tcPr>
            <w:tcW w:w="1193"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40.39%</w:t>
            </w:r>
          </w:p>
        </w:tc>
      </w:tr>
    </w:tbl>
    <w:p>
      <w:pPr>
        <w:spacing w:beforeLines="50" w:afterLines="50" w:line="360" w:lineRule="auto"/>
        <w:ind w:firstLine="440" w:firstLineChars="200"/>
        <w:rPr>
          <w:rFonts w:ascii="Calibri" w:hAnsi="Calibri" w:eastAsia="宋体" w:cs="Times New Roman"/>
        </w:rPr>
      </w:pPr>
      <w:r>
        <w:rPr>
          <w:rFonts w:ascii="Calibri" w:hAnsi="Calibri" w:eastAsia="宋体" w:cs="Times New Roman"/>
        </w:rPr>
        <w:drawing>
          <wp:inline distT="0" distB="0" distL="0" distR="0">
            <wp:extent cx="5057775" cy="2419350"/>
            <wp:effectExtent l="19050" t="0" r="9525" b="0"/>
            <wp:docPr id="3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spacing w:beforeLines="50" w:afterLines="50" w:line="360" w:lineRule="auto"/>
        <w:jc w:val="center"/>
        <w:rPr>
          <w:rFonts w:cs="Times New Roman" w:asciiTheme="minorEastAsia" w:hAnsiTheme="minorEastAsia" w:eastAsiaTheme="minorEastAsia"/>
        </w:rPr>
      </w:pPr>
      <w:r>
        <w:rPr>
          <w:rFonts w:hint="eastAsia" w:cs="Times New Roman" w:asciiTheme="minorEastAsia" w:hAnsiTheme="minorEastAsia" w:eastAsiaTheme="minorEastAsia"/>
        </w:rPr>
        <w:t>图</w:t>
      </w:r>
      <w:r>
        <w:rPr>
          <w:rFonts w:cs="Times New Roman" w:asciiTheme="minorEastAsia" w:hAnsiTheme="minorEastAsia" w:eastAsiaTheme="minorEastAsia"/>
        </w:rPr>
        <w:t>26</w:t>
      </w:r>
      <w:r>
        <w:rPr>
          <w:rFonts w:hint="eastAsia" w:cs="Times New Roman" w:asciiTheme="minorEastAsia" w:hAnsiTheme="minorEastAsia" w:eastAsiaTheme="minorEastAsia"/>
        </w:rPr>
        <w:t xml:space="preserve">   调查对象分年龄组超重患病率（%）</w:t>
      </w:r>
    </w:p>
    <w:p>
      <w:pPr>
        <w:spacing w:after="0" w:line="360" w:lineRule="auto"/>
        <w:ind w:firstLine="482" w:firstLineChars="200"/>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7.2  肥胖</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调查人群肥胖患病率为11.09%，男性肥胖患病率为11.03%，女性人群肥胖患病率为1.14%。18～、30～、40～、50～、60～、70～、80～年龄组肥胖患病率分别为2.27%、4.69%、7.18%、11.14%、12.06%、16.67%、12.35%。70～79岁组肥胖患病率最高。用全国2010年第六次人口普查数据性别年龄标化后，调查人群的标化肥胖患病率为</w:t>
      </w:r>
      <w:r>
        <w:rPr>
          <w:rFonts w:cs="Times New Roman" w:asciiTheme="minorEastAsia" w:hAnsiTheme="minorEastAsia" w:eastAsiaTheme="minorEastAsia"/>
          <w:sz w:val="24"/>
          <w:szCs w:val="24"/>
        </w:rPr>
        <w:t>6.15</w:t>
      </w:r>
      <w:r>
        <w:rPr>
          <w:rFonts w:hint="eastAsia" w:cs="Times New Roman" w:asciiTheme="minorEastAsia" w:hAnsiTheme="minorEastAsia" w:eastAsiaTheme="minorEastAsia"/>
          <w:sz w:val="24"/>
          <w:szCs w:val="24"/>
        </w:rPr>
        <w:t>%，男性标化肥胖患病率为</w:t>
      </w:r>
      <w:r>
        <w:rPr>
          <w:rFonts w:cs="Times New Roman" w:asciiTheme="minorEastAsia" w:hAnsiTheme="minorEastAsia" w:eastAsiaTheme="minorEastAsia"/>
          <w:sz w:val="24"/>
          <w:szCs w:val="24"/>
        </w:rPr>
        <w:t>6.59</w:t>
      </w:r>
      <w:r>
        <w:rPr>
          <w:rFonts w:hint="eastAsia" w:cs="Times New Roman" w:asciiTheme="minorEastAsia" w:hAnsiTheme="minorEastAsia" w:eastAsiaTheme="minorEastAsia"/>
          <w:sz w:val="24"/>
          <w:szCs w:val="24"/>
        </w:rPr>
        <w:t>%，女性为5.70%。见表13. 见图</w:t>
      </w:r>
      <w:r>
        <w:rPr>
          <w:rFonts w:cs="Times New Roman" w:asciiTheme="minorEastAsia" w:hAnsiTheme="minorEastAsia" w:eastAsiaTheme="minorEastAsia"/>
          <w:sz w:val="24"/>
          <w:szCs w:val="24"/>
        </w:rPr>
        <w:t>27</w:t>
      </w:r>
      <w:r>
        <w:rPr>
          <w:rFonts w:hint="eastAsia" w:cs="Times New Roman" w:asciiTheme="minorEastAsia" w:hAnsiTheme="minorEastAsia" w:eastAsiaTheme="minorEastAsia"/>
          <w:sz w:val="24"/>
          <w:szCs w:val="24"/>
        </w:rPr>
        <w:t>.</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表13   调查对象分年龄组肥胖患病率</w:t>
      </w:r>
      <w:r>
        <w:rPr>
          <w:rFonts w:hint="eastAsia" w:cs="Times New Roman" w:asciiTheme="minorEastAsia" w:hAnsiTheme="minorEastAsia" w:eastAsiaTheme="minorEastAsia"/>
        </w:rPr>
        <w:t>（%）</w:t>
      </w:r>
    </w:p>
    <w:tbl>
      <w:tblPr>
        <w:tblStyle w:val="11"/>
        <w:tblW w:w="8519" w:type="dxa"/>
        <w:tblInd w:w="0" w:type="dxa"/>
        <w:tblLayout w:type="fixed"/>
        <w:tblCellMar>
          <w:top w:w="0" w:type="dxa"/>
          <w:left w:w="108" w:type="dxa"/>
          <w:bottom w:w="0" w:type="dxa"/>
          <w:right w:w="108" w:type="dxa"/>
        </w:tblCellMar>
      </w:tblPr>
      <w:tblGrid>
        <w:gridCol w:w="1149"/>
        <w:gridCol w:w="1153"/>
        <w:gridCol w:w="1153"/>
        <w:gridCol w:w="237"/>
        <w:gridCol w:w="1101"/>
        <w:gridCol w:w="1102"/>
        <w:gridCol w:w="237"/>
        <w:gridCol w:w="1194"/>
        <w:gridCol w:w="1193"/>
      </w:tblGrid>
      <w:tr>
        <w:tblPrEx>
          <w:tblCellMar>
            <w:top w:w="0" w:type="dxa"/>
            <w:left w:w="108" w:type="dxa"/>
            <w:bottom w:w="0" w:type="dxa"/>
            <w:right w:w="108" w:type="dxa"/>
          </w:tblCellMar>
        </w:tblPrEx>
        <w:trPr>
          <w:trHeight w:val="90" w:hRule="atLeast"/>
        </w:trPr>
        <w:tc>
          <w:tcPr>
            <w:tcW w:w="1149" w:type="dxa"/>
            <w:vMerge w:val="restart"/>
            <w:tcBorders>
              <w:top w:val="single" w:color="auto" w:sz="8" w:space="0"/>
              <w:left w:val="nil"/>
              <w:bottom w:val="single" w:color="000000"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年龄</w:t>
            </w:r>
          </w:p>
        </w:tc>
        <w:tc>
          <w:tcPr>
            <w:tcW w:w="2306"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37"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2203"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237"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2387"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90" w:hRule="atLeast"/>
        </w:trPr>
        <w:tc>
          <w:tcPr>
            <w:tcW w:w="1149" w:type="dxa"/>
            <w:vMerge w:val="continue"/>
            <w:tcBorders>
              <w:top w:val="single" w:color="auto" w:sz="8"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1153"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153"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c>
          <w:tcPr>
            <w:tcW w:w="237"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1101"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102"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c>
          <w:tcPr>
            <w:tcW w:w="237"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1194"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193"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r>
      <w:tr>
        <w:tblPrEx>
          <w:tblCellMar>
            <w:top w:w="0" w:type="dxa"/>
            <w:left w:w="108" w:type="dxa"/>
            <w:bottom w:w="0" w:type="dxa"/>
            <w:right w:w="108" w:type="dxa"/>
          </w:tblCellMar>
        </w:tblPrEx>
        <w:trPr>
          <w:trHeight w:val="90" w:hRule="atLeast"/>
        </w:trPr>
        <w:tc>
          <w:tcPr>
            <w:tcW w:w="1149"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18～</w:t>
            </w:r>
          </w:p>
        </w:tc>
        <w:tc>
          <w:tcPr>
            <w:tcW w:w="1153"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153"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4.55%</w:t>
            </w:r>
          </w:p>
        </w:tc>
        <w:tc>
          <w:tcPr>
            <w:tcW w:w="237" w:type="dxa"/>
            <w:tcBorders>
              <w:top w:val="single" w:color="auto" w:sz="4" w:space="0"/>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w:t>
            </w:r>
          </w:p>
        </w:tc>
        <w:tc>
          <w:tcPr>
            <w:tcW w:w="1102"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0.00%</w:t>
            </w:r>
          </w:p>
        </w:tc>
        <w:tc>
          <w:tcPr>
            <w:tcW w:w="237" w:type="dxa"/>
            <w:tcBorders>
              <w:top w:val="single" w:color="auto" w:sz="4" w:space="0"/>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193"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2.27%</w:t>
            </w:r>
          </w:p>
        </w:tc>
      </w:tr>
      <w:tr>
        <w:tblPrEx>
          <w:tblCellMar>
            <w:top w:w="0" w:type="dxa"/>
            <w:left w:w="108" w:type="dxa"/>
            <w:bottom w:w="0" w:type="dxa"/>
            <w:right w:w="108" w:type="dxa"/>
          </w:tblCellMar>
        </w:tblPrEx>
        <w:trPr>
          <w:trHeight w:val="289" w:hRule="atLeast"/>
        </w:trPr>
        <w:tc>
          <w:tcPr>
            <w:tcW w:w="114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30～</w:t>
            </w:r>
          </w:p>
        </w:tc>
        <w:tc>
          <w:tcPr>
            <w:tcW w:w="11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115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12.00%</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w:t>
            </w:r>
          </w:p>
        </w:tc>
        <w:tc>
          <w:tcPr>
            <w:tcW w:w="110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0.00%</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119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4.69%</w:t>
            </w:r>
          </w:p>
        </w:tc>
      </w:tr>
      <w:tr>
        <w:tblPrEx>
          <w:tblCellMar>
            <w:top w:w="0" w:type="dxa"/>
            <w:left w:w="108" w:type="dxa"/>
            <w:bottom w:w="0" w:type="dxa"/>
            <w:right w:w="108" w:type="dxa"/>
          </w:tblCellMar>
        </w:tblPrEx>
        <w:trPr>
          <w:trHeight w:val="90" w:hRule="atLeast"/>
        </w:trPr>
        <w:tc>
          <w:tcPr>
            <w:tcW w:w="114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40～</w:t>
            </w:r>
          </w:p>
        </w:tc>
        <w:tc>
          <w:tcPr>
            <w:tcW w:w="11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w:t>
            </w:r>
          </w:p>
        </w:tc>
        <w:tc>
          <w:tcPr>
            <w:tcW w:w="115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6.67%</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w:t>
            </w:r>
          </w:p>
        </w:tc>
        <w:tc>
          <w:tcPr>
            <w:tcW w:w="110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7.46%</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w:t>
            </w:r>
          </w:p>
        </w:tc>
        <w:tc>
          <w:tcPr>
            <w:tcW w:w="119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7.18%</w:t>
            </w:r>
          </w:p>
        </w:tc>
      </w:tr>
      <w:tr>
        <w:tblPrEx>
          <w:tblCellMar>
            <w:top w:w="0" w:type="dxa"/>
            <w:left w:w="108" w:type="dxa"/>
            <w:bottom w:w="0" w:type="dxa"/>
            <w:right w:w="108" w:type="dxa"/>
          </w:tblCellMar>
        </w:tblPrEx>
        <w:trPr>
          <w:trHeight w:val="90" w:hRule="atLeast"/>
        </w:trPr>
        <w:tc>
          <w:tcPr>
            <w:tcW w:w="114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50～</w:t>
            </w:r>
          </w:p>
        </w:tc>
        <w:tc>
          <w:tcPr>
            <w:tcW w:w="11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w:t>
            </w:r>
          </w:p>
        </w:tc>
        <w:tc>
          <w:tcPr>
            <w:tcW w:w="115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14.38%</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16</w:t>
            </w:r>
          </w:p>
        </w:tc>
        <w:tc>
          <w:tcPr>
            <w:tcW w:w="110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8.60%</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37</w:t>
            </w:r>
          </w:p>
        </w:tc>
        <w:tc>
          <w:tcPr>
            <w:tcW w:w="119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11.14%</w:t>
            </w:r>
          </w:p>
        </w:tc>
      </w:tr>
      <w:tr>
        <w:tblPrEx>
          <w:tblCellMar>
            <w:top w:w="0" w:type="dxa"/>
            <w:left w:w="108" w:type="dxa"/>
            <w:bottom w:w="0" w:type="dxa"/>
            <w:right w:w="108" w:type="dxa"/>
          </w:tblCellMar>
        </w:tblPrEx>
        <w:trPr>
          <w:trHeight w:val="90" w:hRule="atLeast"/>
        </w:trPr>
        <w:tc>
          <w:tcPr>
            <w:tcW w:w="114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60～</w:t>
            </w:r>
          </w:p>
        </w:tc>
        <w:tc>
          <w:tcPr>
            <w:tcW w:w="11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w:t>
            </w:r>
          </w:p>
        </w:tc>
        <w:tc>
          <w:tcPr>
            <w:tcW w:w="115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9.15%</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28</w:t>
            </w:r>
          </w:p>
        </w:tc>
        <w:tc>
          <w:tcPr>
            <w:tcW w:w="110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14.14%</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41</w:t>
            </w:r>
          </w:p>
        </w:tc>
        <w:tc>
          <w:tcPr>
            <w:tcW w:w="119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12.06%</w:t>
            </w:r>
          </w:p>
        </w:tc>
      </w:tr>
      <w:tr>
        <w:tblPrEx>
          <w:tblCellMar>
            <w:top w:w="0" w:type="dxa"/>
            <w:left w:w="108" w:type="dxa"/>
            <w:bottom w:w="0" w:type="dxa"/>
            <w:right w:w="108" w:type="dxa"/>
          </w:tblCellMar>
        </w:tblPrEx>
        <w:trPr>
          <w:trHeight w:val="90" w:hRule="atLeast"/>
        </w:trPr>
        <w:tc>
          <w:tcPr>
            <w:tcW w:w="114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70～</w:t>
            </w:r>
          </w:p>
        </w:tc>
        <w:tc>
          <w:tcPr>
            <w:tcW w:w="11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18</w:t>
            </w:r>
          </w:p>
        </w:tc>
        <w:tc>
          <w:tcPr>
            <w:tcW w:w="115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16.36%</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w:t>
            </w:r>
          </w:p>
        </w:tc>
        <w:tc>
          <w:tcPr>
            <w:tcW w:w="1102"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17.00%</w:t>
            </w:r>
          </w:p>
        </w:tc>
        <w:tc>
          <w:tcPr>
            <w:tcW w:w="237" w:type="dxa"/>
            <w:tcBorders>
              <w:top w:val="nil"/>
              <w:left w:val="nil"/>
              <w:bottom w:val="nil"/>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35</w:t>
            </w:r>
          </w:p>
        </w:tc>
        <w:tc>
          <w:tcPr>
            <w:tcW w:w="1193"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16.67%</w:t>
            </w:r>
          </w:p>
        </w:tc>
      </w:tr>
      <w:tr>
        <w:tblPrEx>
          <w:tblCellMar>
            <w:top w:w="0" w:type="dxa"/>
            <w:left w:w="108" w:type="dxa"/>
            <w:bottom w:w="0" w:type="dxa"/>
            <w:right w:w="108" w:type="dxa"/>
          </w:tblCellMar>
        </w:tblPrEx>
        <w:trPr>
          <w:trHeight w:val="243" w:hRule="atLeast"/>
        </w:trPr>
        <w:tc>
          <w:tcPr>
            <w:tcW w:w="1149" w:type="dxa"/>
            <w:tcBorders>
              <w:top w:val="nil"/>
              <w:left w:val="nil"/>
              <w:bottom w:val="single" w:color="auto" w:sz="8"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80～</w:t>
            </w:r>
          </w:p>
        </w:tc>
        <w:tc>
          <w:tcPr>
            <w:tcW w:w="1153"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w:t>
            </w:r>
          </w:p>
        </w:tc>
        <w:tc>
          <w:tcPr>
            <w:tcW w:w="1153"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0.00%</w:t>
            </w:r>
          </w:p>
        </w:tc>
        <w:tc>
          <w:tcPr>
            <w:tcW w:w="237"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w:t>
            </w:r>
          </w:p>
        </w:tc>
        <w:tc>
          <w:tcPr>
            <w:tcW w:w="1102"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20.83%</w:t>
            </w:r>
          </w:p>
        </w:tc>
        <w:tc>
          <w:tcPr>
            <w:tcW w:w="237"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w:t>
            </w:r>
          </w:p>
        </w:tc>
        <w:tc>
          <w:tcPr>
            <w:tcW w:w="1193"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12.35%</w:t>
            </w:r>
          </w:p>
        </w:tc>
      </w:tr>
      <w:tr>
        <w:tblPrEx>
          <w:tblCellMar>
            <w:top w:w="0" w:type="dxa"/>
            <w:left w:w="108" w:type="dxa"/>
            <w:bottom w:w="0" w:type="dxa"/>
            <w:right w:w="108" w:type="dxa"/>
          </w:tblCellMar>
        </w:tblPrEx>
        <w:trPr>
          <w:trHeight w:val="90" w:hRule="atLeast"/>
        </w:trPr>
        <w:tc>
          <w:tcPr>
            <w:tcW w:w="1149" w:type="dxa"/>
            <w:tcBorders>
              <w:top w:val="nil"/>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1153"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61</w:t>
            </w:r>
          </w:p>
        </w:tc>
        <w:tc>
          <w:tcPr>
            <w:tcW w:w="1153"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11.03%</w:t>
            </w:r>
          </w:p>
        </w:tc>
        <w:tc>
          <w:tcPr>
            <w:tcW w:w="237"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01"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81</w:t>
            </w:r>
          </w:p>
        </w:tc>
        <w:tc>
          <w:tcPr>
            <w:tcW w:w="1102"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11.14%</w:t>
            </w:r>
          </w:p>
        </w:tc>
        <w:tc>
          <w:tcPr>
            <w:tcW w:w="237"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94"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142</w:t>
            </w:r>
          </w:p>
        </w:tc>
        <w:tc>
          <w:tcPr>
            <w:tcW w:w="1193"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11.09%</w:t>
            </w:r>
          </w:p>
        </w:tc>
      </w:tr>
    </w:tbl>
    <w:p>
      <w:pPr>
        <w:spacing w:beforeLines="50" w:afterLines="50" w:line="360" w:lineRule="auto"/>
        <w:ind w:firstLine="440" w:firstLineChars="200"/>
        <w:rPr>
          <w:rFonts w:ascii="Calibri" w:hAnsi="Calibri" w:eastAsia="宋体" w:cs="Times New Roman"/>
        </w:rPr>
      </w:pPr>
      <w:r>
        <w:rPr>
          <w:rFonts w:ascii="Calibri" w:hAnsi="Calibri" w:eastAsia="宋体" w:cs="Times New Roman"/>
        </w:rPr>
        <w:drawing>
          <wp:inline distT="0" distB="0" distL="0" distR="0">
            <wp:extent cx="5048250" cy="2379980"/>
            <wp:effectExtent l="19050" t="0" r="19050" b="1270"/>
            <wp:docPr id="3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spacing w:beforeLines="50" w:afterLines="50" w:line="360" w:lineRule="auto"/>
        <w:ind w:firstLine="440" w:firstLineChars="200"/>
        <w:jc w:val="center"/>
        <w:rPr>
          <w:rFonts w:ascii="宋体" w:hAnsi="宋体" w:eastAsia="宋体" w:cs="Times New Roman"/>
        </w:rPr>
      </w:pPr>
      <w:r>
        <w:rPr>
          <w:rFonts w:hint="eastAsia" w:ascii="宋体" w:hAnsi="宋体" w:eastAsia="宋体" w:cs="Times New Roman"/>
        </w:rPr>
        <w:t>图</w:t>
      </w:r>
      <w:r>
        <w:rPr>
          <w:rFonts w:ascii="宋体" w:hAnsi="宋体" w:eastAsia="宋体" w:cs="Times New Roman"/>
        </w:rPr>
        <w:t>27</w:t>
      </w:r>
      <w:r>
        <w:rPr>
          <w:rFonts w:hint="eastAsia" w:ascii="宋体" w:hAnsi="宋体" w:eastAsia="宋体" w:cs="Times New Roman"/>
        </w:rPr>
        <w:t xml:space="preserve">  调查对象分年龄组肥胖患病率（%）</w:t>
      </w:r>
    </w:p>
    <w:p>
      <w:pPr>
        <w:spacing w:line="360" w:lineRule="auto"/>
        <w:ind w:firstLine="482" w:firstLineChars="200"/>
        <w:rPr>
          <w:rFonts w:asciiTheme="minorEastAsia" w:hAnsiTheme="minorEastAsia" w:eastAsiaTheme="minorEastAsia"/>
          <w:b/>
          <w:color w:val="000000"/>
          <w:sz w:val="24"/>
          <w:szCs w:val="24"/>
        </w:rPr>
      </w:pPr>
      <w:r>
        <w:rPr>
          <w:rFonts w:asciiTheme="minorEastAsia" w:hAnsiTheme="minorEastAsia" w:eastAsiaTheme="minorEastAsia"/>
          <w:b/>
          <w:color w:val="000000"/>
          <w:sz w:val="24"/>
          <w:szCs w:val="24"/>
        </w:rPr>
        <w:t>7.3  中心性肥胖</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调查人群中心性肥胖患病率为30.55%，男性中心性肥胖患病率为28.21%，女性为32.32%。18～、30～、40～、50～、60～、70～、80～年龄组中心性肥胖患病率分别为2.27%、14.06%、18.66%、29.82%、37.94%、41.43%、33.33%。70～79岁组中心性肥胖患病率最高。用全国2010年第六次人口普查数据性别年龄标化后，调查人群的标化中心性肥胖患病率为</w:t>
      </w:r>
      <w:r>
        <w:rPr>
          <w:rFonts w:cs="Times New Roman" w:asciiTheme="minorEastAsia" w:hAnsiTheme="minorEastAsia" w:eastAsiaTheme="minorEastAsia"/>
          <w:sz w:val="24"/>
          <w:szCs w:val="24"/>
        </w:rPr>
        <w:t>16.54</w:t>
      </w:r>
      <w:r>
        <w:rPr>
          <w:rFonts w:hint="eastAsia" w:cs="Times New Roman" w:asciiTheme="minorEastAsia" w:hAnsiTheme="minorEastAsia" w:eastAsiaTheme="minorEastAsia"/>
          <w:sz w:val="24"/>
          <w:szCs w:val="24"/>
        </w:rPr>
        <w:t>%，男性标化中心性肥胖患病率为</w:t>
      </w:r>
      <w:r>
        <w:rPr>
          <w:rFonts w:cs="Times New Roman" w:asciiTheme="minorEastAsia" w:hAnsiTheme="minorEastAsia" w:eastAsiaTheme="minorEastAsia"/>
          <w:sz w:val="24"/>
          <w:szCs w:val="24"/>
        </w:rPr>
        <w:t>16.38</w:t>
      </w:r>
      <w:r>
        <w:rPr>
          <w:rFonts w:hint="eastAsia" w:cs="Times New Roman" w:asciiTheme="minorEastAsia" w:hAnsiTheme="minorEastAsia" w:eastAsiaTheme="minorEastAsia"/>
          <w:sz w:val="24"/>
          <w:szCs w:val="24"/>
        </w:rPr>
        <w:t>%，女性为16.71%。见表14. 见</w:t>
      </w:r>
      <w:r>
        <w:rPr>
          <w:rFonts w:cs="Times New Roman" w:asciiTheme="minorEastAsia" w:hAnsiTheme="minorEastAsia" w:eastAsiaTheme="minorEastAsia"/>
          <w:sz w:val="24"/>
          <w:szCs w:val="24"/>
        </w:rPr>
        <w:t>图28</w:t>
      </w:r>
      <w:r>
        <w:rPr>
          <w:rFonts w:hint="eastAsia" w:cs="Times New Roman" w:asciiTheme="minorEastAsia" w:hAnsiTheme="minorEastAsia" w:eastAsiaTheme="minorEastAsia"/>
          <w:sz w:val="24"/>
          <w:szCs w:val="24"/>
        </w:rPr>
        <w:t>.</w:t>
      </w:r>
    </w:p>
    <w:p>
      <w:pPr>
        <w:spacing w:line="360" w:lineRule="auto"/>
        <w:jc w:val="center"/>
        <w:rPr>
          <w:rFonts w:ascii="宋体" w:hAnsi="宋体" w:eastAsia="宋体"/>
          <w:color w:val="000000"/>
        </w:rPr>
      </w:pPr>
      <w:r>
        <w:rPr>
          <w:rFonts w:hint="eastAsia" w:ascii="宋体" w:hAnsi="宋体" w:eastAsia="宋体"/>
          <w:color w:val="000000"/>
        </w:rPr>
        <w:t>表14   调查对象分年龄组中心性肥胖患病率</w:t>
      </w:r>
      <w:r>
        <w:rPr>
          <w:rFonts w:hint="eastAsia" w:cs="Times New Roman" w:asciiTheme="minorEastAsia" w:hAnsiTheme="minorEastAsia" w:eastAsiaTheme="minorEastAsia"/>
        </w:rPr>
        <w:t>（%）</w:t>
      </w:r>
    </w:p>
    <w:tbl>
      <w:tblPr>
        <w:tblStyle w:val="11"/>
        <w:tblW w:w="8519" w:type="dxa"/>
        <w:tblInd w:w="0" w:type="dxa"/>
        <w:tblLayout w:type="fixed"/>
        <w:tblCellMar>
          <w:top w:w="0" w:type="dxa"/>
          <w:left w:w="108" w:type="dxa"/>
          <w:bottom w:w="0" w:type="dxa"/>
          <w:right w:w="108" w:type="dxa"/>
        </w:tblCellMar>
      </w:tblPr>
      <w:tblGrid>
        <w:gridCol w:w="1148"/>
        <w:gridCol w:w="998"/>
        <w:gridCol w:w="1309"/>
        <w:gridCol w:w="237"/>
        <w:gridCol w:w="980"/>
        <w:gridCol w:w="1223"/>
        <w:gridCol w:w="237"/>
        <w:gridCol w:w="1022"/>
        <w:gridCol w:w="1365"/>
      </w:tblGrid>
      <w:tr>
        <w:tblPrEx>
          <w:tblCellMar>
            <w:top w:w="0" w:type="dxa"/>
            <w:left w:w="108" w:type="dxa"/>
            <w:bottom w:w="0" w:type="dxa"/>
            <w:right w:w="108" w:type="dxa"/>
          </w:tblCellMar>
        </w:tblPrEx>
        <w:trPr>
          <w:trHeight w:val="90" w:hRule="atLeast"/>
        </w:trPr>
        <w:tc>
          <w:tcPr>
            <w:tcW w:w="1148" w:type="dxa"/>
            <w:vMerge w:val="restart"/>
            <w:tcBorders>
              <w:top w:val="single" w:color="auto" w:sz="8" w:space="0"/>
              <w:left w:val="nil"/>
              <w:bottom w:val="single" w:color="000000" w:sz="8" w:space="0"/>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年龄</w:t>
            </w:r>
          </w:p>
        </w:tc>
        <w:tc>
          <w:tcPr>
            <w:tcW w:w="2307" w:type="dxa"/>
            <w:gridSpan w:val="2"/>
            <w:tcBorders>
              <w:top w:val="single" w:color="auto" w:sz="8" w:space="0"/>
              <w:left w:val="nil"/>
              <w:bottom w:val="single" w:color="auto" w:sz="8" w:space="0"/>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男性</w:t>
            </w:r>
          </w:p>
        </w:tc>
        <w:tc>
          <w:tcPr>
            <w:tcW w:w="237" w:type="dxa"/>
            <w:tcBorders>
              <w:top w:val="single" w:color="auto" w:sz="8" w:space="0"/>
              <w:left w:val="nil"/>
              <w:bottom w:val="nil"/>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　</w:t>
            </w:r>
          </w:p>
        </w:tc>
        <w:tc>
          <w:tcPr>
            <w:tcW w:w="2203" w:type="dxa"/>
            <w:gridSpan w:val="2"/>
            <w:tcBorders>
              <w:top w:val="single" w:color="auto" w:sz="8" w:space="0"/>
              <w:left w:val="nil"/>
              <w:bottom w:val="single" w:color="auto" w:sz="8" w:space="0"/>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女性</w:t>
            </w:r>
          </w:p>
        </w:tc>
        <w:tc>
          <w:tcPr>
            <w:tcW w:w="237" w:type="dxa"/>
            <w:tcBorders>
              <w:top w:val="single" w:color="auto" w:sz="8" w:space="0"/>
              <w:left w:val="nil"/>
              <w:bottom w:val="nil"/>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　</w:t>
            </w:r>
          </w:p>
        </w:tc>
        <w:tc>
          <w:tcPr>
            <w:tcW w:w="2387" w:type="dxa"/>
            <w:gridSpan w:val="2"/>
            <w:tcBorders>
              <w:top w:val="single" w:color="auto" w:sz="8" w:space="0"/>
              <w:left w:val="nil"/>
              <w:bottom w:val="single" w:color="auto" w:sz="8" w:space="0"/>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合计</w:t>
            </w:r>
          </w:p>
        </w:tc>
      </w:tr>
      <w:tr>
        <w:tblPrEx>
          <w:tblCellMar>
            <w:top w:w="0" w:type="dxa"/>
            <w:left w:w="108" w:type="dxa"/>
            <w:bottom w:w="0" w:type="dxa"/>
            <w:right w:w="108" w:type="dxa"/>
          </w:tblCellMar>
        </w:tblPrEx>
        <w:trPr>
          <w:trHeight w:val="90" w:hRule="atLeast"/>
        </w:trPr>
        <w:tc>
          <w:tcPr>
            <w:tcW w:w="1148" w:type="dxa"/>
            <w:vMerge w:val="continue"/>
            <w:tcBorders>
              <w:top w:val="single" w:color="auto" w:sz="8" w:space="0"/>
              <w:left w:val="nil"/>
              <w:bottom w:val="single" w:color="auto" w:sz="4" w:space="0"/>
              <w:right w:val="nil"/>
            </w:tcBorders>
            <w:vAlign w:val="center"/>
          </w:tcPr>
          <w:p>
            <w:pPr>
              <w:spacing w:line="360" w:lineRule="auto"/>
              <w:jc w:val="center"/>
              <w:rPr>
                <w:rFonts w:ascii="宋体" w:hAnsi="宋体" w:eastAsia="宋体"/>
                <w:color w:val="000000"/>
                <w:sz w:val="21"/>
                <w:szCs w:val="21"/>
              </w:rPr>
            </w:pPr>
          </w:p>
        </w:tc>
        <w:tc>
          <w:tcPr>
            <w:tcW w:w="998" w:type="dxa"/>
            <w:tcBorders>
              <w:top w:val="nil"/>
              <w:left w:val="nil"/>
              <w:bottom w:val="single" w:color="auto" w:sz="4" w:space="0"/>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例数</w:t>
            </w:r>
          </w:p>
        </w:tc>
        <w:tc>
          <w:tcPr>
            <w:tcW w:w="1309" w:type="dxa"/>
            <w:tcBorders>
              <w:top w:val="nil"/>
              <w:left w:val="nil"/>
              <w:bottom w:val="single" w:color="auto" w:sz="4" w:space="0"/>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患病率</w:t>
            </w:r>
          </w:p>
        </w:tc>
        <w:tc>
          <w:tcPr>
            <w:tcW w:w="237" w:type="dxa"/>
            <w:tcBorders>
              <w:top w:val="nil"/>
              <w:left w:val="nil"/>
              <w:bottom w:val="single" w:color="auto" w:sz="4" w:space="0"/>
              <w:right w:val="nil"/>
            </w:tcBorders>
            <w:vAlign w:val="center"/>
          </w:tcPr>
          <w:p>
            <w:pPr>
              <w:spacing w:line="360" w:lineRule="auto"/>
              <w:jc w:val="center"/>
              <w:rPr>
                <w:rFonts w:ascii="宋体" w:hAnsi="宋体" w:eastAsia="宋体"/>
                <w:color w:val="000000"/>
                <w:sz w:val="21"/>
                <w:szCs w:val="21"/>
              </w:rPr>
            </w:pPr>
          </w:p>
        </w:tc>
        <w:tc>
          <w:tcPr>
            <w:tcW w:w="980" w:type="dxa"/>
            <w:tcBorders>
              <w:top w:val="nil"/>
              <w:left w:val="nil"/>
              <w:bottom w:val="single" w:color="auto" w:sz="4" w:space="0"/>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例数</w:t>
            </w:r>
          </w:p>
        </w:tc>
        <w:tc>
          <w:tcPr>
            <w:tcW w:w="1223" w:type="dxa"/>
            <w:tcBorders>
              <w:top w:val="nil"/>
              <w:left w:val="nil"/>
              <w:bottom w:val="single" w:color="auto" w:sz="4" w:space="0"/>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患病率</w:t>
            </w:r>
          </w:p>
        </w:tc>
        <w:tc>
          <w:tcPr>
            <w:tcW w:w="237" w:type="dxa"/>
            <w:tcBorders>
              <w:top w:val="nil"/>
              <w:left w:val="nil"/>
              <w:bottom w:val="single" w:color="auto" w:sz="4" w:space="0"/>
              <w:right w:val="nil"/>
            </w:tcBorders>
            <w:vAlign w:val="center"/>
          </w:tcPr>
          <w:p>
            <w:pPr>
              <w:spacing w:line="360" w:lineRule="auto"/>
              <w:jc w:val="center"/>
              <w:rPr>
                <w:rFonts w:ascii="宋体" w:hAnsi="宋体" w:eastAsia="宋体"/>
                <w:color w:val="000000"/>
                <w:sz w:val="21"/>
                <w:szCs w:val="21"/>
              </w:rPr>
            </w:pPr>
          </w:p>
        </w:tc>
        <w:tc>
          <w:tcPr>
            <w:tcW w:w="1022" w:type="dxa"/>
            <w:tcBorders>
              <w:top w:val="nil"/>
              <w:left w:val="nil"/>
              <w:bottom w:val="single" w:color="auto" w:sz="4" w:space="0"/>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例数</w:t>
            </w:r>
          </w:p>
        </w:tc>
        <w:tc>
          <w:tcPr>
            <w:tcW w:w="1365" w:type="dxa"/>
            <w:tcBorders>
              <w:top w:val="nil"/>
              <w:left w:val="nil"/>
              <w:bottom w:val="single" w:color="auto" w:sz="4" w:space="0"/>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患病率</w:t>
            </w:r>
          </w:p>
        </w:tc>
      </w:tr>
      <w:tr>
        <w:tblPrEx>
          <w:tblCellMar>
            <w:top w:w="0" w:type="dxa"/>
            <w:left w:w="108" w:type="dxa"/>
            <w:bottom w:w="0" w:type="dxa"/>
            <w:right w:w="108" w:type="dxa"/>
          </w:tblCellMar>
        </w:tblPrEx>
        <w:trPr>
          <w:trHeight w:val="90" w:hRule="atLeast"/>
        </w:trPr>
        <w:tc>
          <w:tcPr>
            <w:tcW w:w="1148" w:type="dxa"/>
            <w:tcBorders>
              <w:top w:val="single" w:color="auto" w:sz="4" w:space="0"/>
              <w:left w:val="nil"/>
              <w:bottom w:val="nil"/>
              <w:right w:val="nil"/>
            </w:tcBorders>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18～</w:t>
            </w:r>
          </w:p>
        </w:tc>
        <w:tc>
          <w:tcPr>
            <w:tcW w:w="998" w:type="dxa"/>
            <w:tcBorders>
              <w:top w:val="single" w:color="auto" w:sz="4" w:space="0"/>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1</w:t>
            </w:r>
          </w:p>
        </w:tc>
        <w:tc>
          <w:tcPr>
            <w:tcW w:w="1309" w:type="dxa"/>
            <w:tcBorders>
              <w:top w:val="single" w:color="auto" w:sz="4" w:space="0"/>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4.55%</w:t>
            </w:r>
          </w:p>
        </w:tc>
        <w:tc>
          <w:tcPr>
            <w:tcW w:w="237" w:type="dxa"/>
            <w:tcBorders>
              <w:top w:val="single" w:color="auto" w:sz="4" w:space="0"/>
              <w:left w:val="nil"/>
              <w:bottom w:val="nil"/>
              <w:right w:val="nil"/>
            </w:tcBorders>
            <w:vAlign w:val="center"/>
          </w:tcPr>
          <w:p>
            <w:pPr>
              <w:spacing w:line="360" w:lineRule="auto"/>
              <w:jc w:val="center"/>
              <w:rPr>
                <w:rFonts w:ascii="宋体" w:hAnsi="宋体" w:eastAsia="宋体" w:cs="宋体"/>
                <w:color w:val="000000"/>
                <w:sz w:val="21"/>
                <w:szCs w:val="21"/>
              </w:rPr>
            </w:pPr>
          </w:p>
        </w:tc>
        <w:tc>
          <w:tcPr>
            <w:tcW w:w="980" w:type="dxa"/>
            <w:tcBorders>
              <w:top w:val="single" w:color="auto" w:sz="4" w:space="0"/>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0</w:t>
            </w:r>
          </w:p>
        </w:tc>
        <w:tc>
          <w:tcPr>
            <w:tcW w:w="1223" w:type="dxa"/>
            <w:tcBorders>
              <w:top w:val="single" w:color="auto" w:sz="4" w:space="0"/>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0.00%</w:t>
            </w:r>
          </w:p>
        </w:tc>
        <w:tc>
          <w:tcPr>
            <w:tcW w:w="237" w:type="dxa"/>
            <w:tcBorders>
              <w:top w:val="single" w:color="auto" w:sz="4" w:space="0"/>
              <w:left w:val="nil"/>
              <w:bottom w:val="nil"/>
              <w:right w:val="nil"/>
            </w:tcBorders>
            <w:vAlign w:val="center"/>
          </w:tcPr>
          <w:p>
            <w:pPr>
              <w:spacing w:line="360" w:lineRule="auto"/>
              <w:jc w:val="center"/>
              <w:rPr>
                <w:rFonts w:ascii="宋体" w:hAnsi="宋体" w:eastAsia="宋体" w:cs="宋体"/>
                <w:color w:val="000000"/>
                <w:sz w:val="21"/>
                <w:szCs w:val="21"/>
              </w:rPr>
            </w:pPr>
          </w:p>
        </w:tc>
        <w:tc>
          <w:tcPr>
            <w:tcW w:w="1022" w:type="dxa"/>
            <w:tcBorders>
              <w:top w:val="single" w:color="auto" w:sz="4" w:space="0"/>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1</w:t>
            </w:r>
          </w:p>
        </w:tc>
        <w:tc>
          <w:tcPr>
            <w:tcW w:w="1365" w:type="dxa"/>
            <w:tcBorders>
              <w:top w:val="single" w:color="auto" w:sz="4" w:space="0"/>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2.27%</w:t>
            </w:r>
          </w:p>
        </w:tc>
      </w:tr>
      <w:tr>
        <w:tblPrEx>
          <w:tblCellMar>
            <w:top w:w="0" w:type="dxa"/>
            <w:left w:w="108" w:type="dxa"/>
            <w:bottom w:w="0" w:type="dxa"/>
            <w:right w:w="108" w:type="dxa"/>
          </w:tblCellMar>
        </w:tblPrEx>
        <w:trPr>
          <w:trHeight w:val="289" w:hRule="atLeast"/>
        </w:trPr>
        <w:tc>
          <w:tcPr>
            <w:tcW w:w="1148" w:type="dxa"/>
            <w:tcBorders>
              <w:top w:val="nil"/>
              <w:left w:val="nil"/>
              <w:bottom w:val="nil"/>
              <w:right w:val="nil"/>
            </w:tcBorders>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30～</w:t>
            </w:r>
          </w:p>
        </w:tc>
        <w:tc>
          <w:tcPr>
            <w:tcW w:w="998"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7</w:t>
            </w:r>
          </w:p>
        </w:tc>
        <w:tc>
          <w:tcPr>
            <w:tcW w:w="1309"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28.00%</w:t>
            </w:r>
          </w:p>
        </w:tc>
        <w:tc>
          <w:tcPr>
            <w:tcW w:w="237" w:type="dxa"/>
            <w:tcBorders>
              <w:top w:val="nil"/>
              <w:left w:val="nil"/>
              <w:bottom w:val="nil"/>
              <w:right w:val="nil"/>
            </w:tcBorders>
            <w:vAlign w:val="center"/>
          </w:tcPr>
          <w:p>
            <w:pPr>
              <w:spacing w:line="360" w:lineRule="auto"/>
              <w:jc w:val="center"/>
              <w:rPr>
                <w:rFonts w:ascii="宋体" w:hAnsi="宋体" w:eastAsia="宋体" w:cs="宋体"/>
                <w:color w:val="000000"/>
                <w:sz w:val="21"/>
                <w:szCs w:val="21"/>
              </w:rPr>
            </w:pPr>
          </w:p>
        </w:tc>
        <w:tc>
          <w:tcPr>
            <w:tcW w:w="980"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w:t>
            </w:r>
          </w:p>
        </w:tc>
        <w:tc>
          <w:tcPr>
            <w:tcW w:w="1223"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5.13%</w:t>
            </w:r>
          </w:p>
        </w:tc>
        <w:tc>
          <w:tcPr>
            <w:tcW w:w="237" w:type="dxa"/>
            <w:tcBorders>
              <w:top w:val="nil"/>
              <w:left w:val="nil"/>
              <w:bottom w:val="nil"/>
              <w:right w:val="nil"/>
            </w:tcBorders>
            <w:vAlign w:val="center"/>
          </w:tcPr>
          <w:p>
            <w:pPr>
              <w:spacing w:line="360" w:lineRule="auto"/>
              <w:jc w:val="center"/>
              <w:rPr>
                <w:rFonts w:ascii="宋体" w:hAnsi="宋体" w:eastAsia="宋体" w:cs="宋体"/>
                <w:color w:val="000000"/>
                <w:sz w:val="21"/>
                <w:szCs w:val="21"/>
              </w:rPr>
            </w:pPr>
          </w:p>
        </w:tc>
        <w:tc>
          <w:tcPr>
            <w:tcW w:w="1022"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9</w:t>
            </w:r>
          </w:p>
        </w:tc>
        <w:tc>
          <w:tcPr>
            <w:tcW w:w="1365"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14.06%</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40～</w:t>
            </w:r>
          </w:p>
        </w:tc>
        <w:tc>
          <w:tcPr>
            <w:tcW w:w="998"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20</w:t>
            </w:r>
          </w:p>
        </w:tc>
        <w:tc>
          <w:tcPr>
            <w:tcW w:w="1309"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26.67%</w:t>
            </w:r>
          </w:p>
        </w:tc>
        <w:tc>
          <w:tcPr>
            <w:tcW w:w="237" w:type="dxa"/>
            <w:tcBorders>
              <w:top w:val="nil"/>
              <w:left w:val="nil"/>
              <w:bottom w:val="nil"/>
              <w:right w:val="nil"/>
            </w:tcBorders>
            <w:vAlign w:val="center"/>
          </w:tcPr>
          <w:p>
            <w:pPr>
              <w:spacing w:line="360" w:lineRule="auto"/>
              <w:jc w:val="center"/>
              <w:rPr>
                <w:rFonts w:ascii="宋体" w:hAnsi="宋体" w:eastAsia="宋体" w:cs="宋体"/>
                <w:color w:val="000000"/>
                <w:sz w:val="21"/>
                <w:szCs w:val="21"/>
              </w:rPr>
            </w:pPr>
          </w:p>
        </w:tc>
        <w:tc>
          <w:tcPr>
            <w:tcW w:w="980"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19</w:t>
            </w:r>
          </w:p>
        </w:tc>
        <w:tc>
          <w:tcPr>
            <w:tcW w:w="1223"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14.18%</w:t>
            </w:r>
          </w:p>
        </w:tc>
        <w:tc>
          <w:tcPr>
            <w:tcW w:w="237" w:type="dxa"/>
            <w:tcBorders>
              <w:top w:val="nil"/>
              <w:left w:val="nil"/>
              <w:bottom w:val="nil"/>
              <w:right w:val="nil"/>
            </w:tcBorders>
            <w:vAlign w:val="center"/>
          </w:tcPr>
          <w:p>
            <w:pPr>
              <w:spacing w:line="360" w:lineRule="auto"/>
              <w:jc w:val="center"/>
              <w:rPr>
                <w:rFonts w:ascii="宋体" w:hAnsi="宋体" w:eastAsia="宋体" w:cs="宋体"/>
                <w:color w:val="000000"/>
                <w:sz w:val="21"/>
                <w:szCs w:val="21"/>
              </w:rPr>
            </w:pPr>
          </w:p>
        </w:tc>
        <w:tc>
          <w:tcPr>
            <w:tcW w:w="1022"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39</w:t>
            </w:r>
          </w:p>
        </w:tc>
        <w:tc>
          <w:tcPr>
            <w:tcW w:w="1365"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18.66%</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50～</w:t>
            </w:r>
          </w:p>
        </w:tc>
        <w:tc>
          <w:tcPr>
            <w:tcW w:w="998"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41</w:t>
            </w:r>
          </w:p>
        </w:tc>
        <w:tc>
          <w:tcPr>
            <w:tcW w:w="1309"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28.08%</w:t>
            </w:r>
          </w:p>
        </w:tc>
        <w:tc>
          <w:tcPr>
            <w:tcW w:w="237" w:type="dxa"/>
            <w:tcBorders>
              <w:top w:val="nil"/>
              <w:left w:val="nil"/>
              <w:bottom w:val="nil"/>
              <w:right w:val="nil"/>
            </w:tcBorders>
            <w:vAlign w:val="center"/>
          </w:tcPr>
          <w:p>
            <w:pPr>
              <w:spacing w:line="360" w:lineRule="auto"/>
              <w:jc w:val="center"/>
              <w:rPr>
                <w:rFonts w:ascii="宋体" w:hAnsi="宋体" w:eastAsia="宋体" w:cs="宋体"/>
                <w:color w:val="000000"/>
                <w:sz w:val="21"/>
                <w:szCs w:val="21"/>
              </w:rPr>
            </w:pPr>
          </w:p>
        </w:tc>
        <w:tc>
          <w:tcPr>
            <w:tcW w:w="980"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58</w:t>
            </w:r>
          </w:p>
        </w:tc>
        <w:tc>
          <w:tcPr>
            <w:tcW w:w="1223"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31.18%</w:t>
            </w:r>
          </w:p>
        </w:tc>
        <w:tc>
          <w:tcPr>
            <w:tcW w:w="237" w:type="dxa"/>
            <w:tcBorders>
              <w:top w:val="nil"/>
              <w:left w:val="nil"/>
              <w:bottom w:val="nil"/>
              <w:right w:val="nil"/>
            </w:tcBorders>
            <w:vAlign w:val="center"/>
          </w:tcPr>
          <w:p>
            <w:pPr>
              <w:spacing w:line="360" w:lineRule="auto"/>
              <w:jc w:val="center"/>
              <w:rPr>
                <w:rFonts w:ascii="宋体" w:hAnsi="宋体" w:eastAsia="宋体" w:cs="宋体"/>
                <w:color w:val="000000"/>
                <w:sz w:val="21"/>
                <w:szCs w:val="21"/>
              </w:rPr>
            </w:pPr>
          </w:p>
        </w:tc>
        <w:tc>
          <w:tcPr>
            <w:tcW w:w="1022"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99</w:t>
            </w:r>
          </w:p>
        </w:tc>
        <w:tc>
          <w:tcPr>
            <w:tcW w:w="1365"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29.82%</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60～</w:t>
            </w:r>
          </w:p>
        </w:tc>
        <w:tc>
          <w:tcPr>
            <w:tcW w:w="998"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42</w:t>
            </w:r>
          </w:p>
        </w:tc>
        <w:tc>
          <w:tcPr>
            <w:tcW w:w="1309"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29.58%</w:t>
            </w:r>
          </w:p>
        </w:tc>
        <w:tc>
          <w:tcPr>
            <w:tcW w:w="237" w:type="dxa"/>
            <w:tcBorders>
              <w:top w:val="nil"/>
              <w:left w:val="nil"/>
              <w:bottom w:val="nil"/>
              <w:right w:val="nil"/>
            </w:tcBorders>
            <w:vAlign w:val="center"/>
          </w:tcPr>
          <w:p>
            <w:pPr>
              <w:spacing w:line="360" w:lineRule="auto"/>
              <w:jc w:val="center"/>
              <w:rPr>
                <w:rFonts w:ascii="宋体" w:hAnsi="宋体" w:eastAsia="宋体" w:cs="宋体"/>
                <w:color w:val="000000"/>
                <w:sz w:val="21"/>
                <w:szCs w:val="21"/>
              </w:rPr>
            </w:pPr>
          </w:p>
        </w:tc>
        <w:tc>
          <w:tcPr>
            <w:tcW w:w="980"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87</w:t>
            </w:r>
          </w:p>
        </w:tc>
        <w:tc>
          <w:tcPr>
            <w:tcW w:w="1223"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43.94%</w:t>
            </w:r>
          </w:p>
        </w:tc>
        <w:tc>
          <w:tcPr>
            <w:tcW w:w="237" w:type="dxa"/>
            <w:tcBorders>
              <w:top w:val="nil"/>
              <w:left w:val="nil"/>
              <w:bottom w:val="nil"/>
              <w:right w:val="nil"/>
            </w:tcBorders>
            <w:vAlign w:val="center"/>
          </w:tcPr>
          <w:p>
            <w:pPr>
              <w:spacing w:line="360" w:lineRule="auto"/>
              <w:jc w:val="center"/>
              <w:rPr>
                <w:rFonts w:ascii="宋体" w:hAnsi="宋体" w:eastAsia="宋体" w:cs="宋体"/>
                <w:color w:val="000000"/>
                <w:sz w:val="21"/>
                <w:szCs w:val="21"/>
              </w:rPr>
            </w:pPr>
          </w:p>
        </w:tc>
        <w:tc>
          <w:tcPr>
            <w:tcW w:w="1022"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129</w:t>
            </w:r>
          </w:p>
        </w:tc>
        <w:tc>
          <w:tcPr>
            <w:tcW w:w="1365"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37.94%</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70～</w:t>
            </w:r>
          </w:p>
        </w:tc>
        <w:tc>
          <w:tcPr>
            <w:tcW w:w="998"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38</w:t>
            </w:r>
          </w:p>
        </w:tc>
        <w:tc>
          <w:tcPr>
            <w:tcW w:w="1309"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34.55%</w:t>
            </w:r>
          </w:p>
        </w:tc>
        <w:tc>
          <w:tcPr>
            <w:tcW w:w="237" w:type="dxa"/>
            <w:tcBorders>
              <w:top w:val="nil"/>
              <w:left w:val="nil"/>
              <w:bottom w:val="nil"/>
              <w:right w:val="nil"/>
            </w:tcBorders>
            <w:vAlign w:val="center"/>
          </w:tcPr>
          <w:p>
            <w:pPr>
              <w:spacing w:line="360" w:lineRule="auto"/>
              <w:jc w:val="center"/>
              <w:rPr>
                <w:rFonts w:ascii="宋体" w:hAnsi="宋体" w:eastAsia="宋体" w:cs="宋体"/>
                <w:color w:val="000000"/>
                <w:sz w:val="21"/>
                <w:szCs w:val="21"/>
              </w:rPr>
            </w:pPr>
          </w:p>
        </w:tc>
        <w:tc>
          <w:tcPr>
            <w:tcW w:w="980"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49</w:t>
            </w:r>
          </w:p>
        </w:tc>
        <w:tc>
          <w:tcPr>
            <w:tcW w:w="1223"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49.00%</w:t>
            </w:r>
          </w:p>
        </w:tc>
        <w:tc>
          <w:tcPr>
            <w:tcW w:w="237" w:type="dxa"/>
            <w:tcBorders>
              <w:top w:val="nil"/>
              <w:left w:val="nil"/>
              <w:bottom w:val="nil"/>
              <w:right w:val="nil"/>
            </w:tcBorders>
            <w:vAlign w:val="center"/>
          </w:tcPr>
          <w:p>
            <w:pPr>
              <w:spacing w:line="360" w:lineRule="auto"/>
              <w:jc w:val="center"/>
              <w:rPr>
                <w:rFonts w:ascii="宋体" w:hAnsi="宋体" w:eastAsia="宋体" w:cs="宋体"/>
                <w:color w:val="000000"/>
                <w:sz w:val="21"/>
                <w:szCs w:val="21"/>
              </w:rPr>
            </w:pPr>
          </w:p>
        </w:tc>
        <w:tc>
          <w:tcPr>
            <w:tcW w:w="1022" w:type="dxa"/>
            <w:tcBorders>
              <w:top w:val="nil"/>
              <w:left w:val="nil"/>
              <w:bottom w:val="nil"/>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87</w:t>
            </w:r>
          </w:p>
        </w:tc>
        <w:tc>
          <w:tcPr>
            <w:tcW w:w="1365" w:type="dxa"/>
            <w:tcBorders>
              <w:top w:val="nil"/>
              <w:left w:val="nil"/>
              <w:bottom w:val="nil"/>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41.43%</w:t>
            </w:r>
          </w:p>
        </w:tc>
      </w:tr>
      <w:tr>
        <w:tblPrEx>
          <w:tblCellMar>
            <w:top w:w="0" w:type="dxa"/>
            <w:left w:w="108" w:type="dxa"/>
            <w:bottom w:w="0" w:type="dxa"/>
            <w:right w:w="108" w:type="dxa"/>
          </w:tblCellMar>
        </w:tblPrEx>
        <w:trPr>
          <w:trHeight w:val="243" w:hRule="atLeast"/>
        </w:trPr>
        <w:tc>
          <w:tcPr>
            <w:tcW w:w="1148" w:type="dxa"/>
            <w:tcBorders>
              <w:top w:val="nil"/>
              <w:left w:val="nil"/>
              <w:bottom w:val="single" w:color="auto" w:sz="8" w:space="0"/>
              <w:right w:val="nil"/>
            </w:tcBorders>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80～</w:t>
            </w:r>
          </w:p>
        </w:tc>
        <w:tc>
          <w:tcPr>
            <w:tcW w:w="998" w:type="dxa"/>
            <w:tcBorders>
              <w:top w:val="nil"/>
              <w:left w:val="nil"/>
              <w:bottom w:val="single" w:color="auto" w:sz="8" w:space="0"/>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7</w:t>
            </w:r>
          </w:p>
        </w:tc>
        <w:tc>
          <w:tcPr>
            <w:tcW w:w="1309" w:type="dxa"/>
            <w:tcBorders>
              <w:top w:val="nil"/>
              <w:left w:val="nil"/>
              <w:bottom w:val="single" w:color="auto" w:sz="8" w:space="0"/>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21.21%</w:t>
            </w:r>
          </w:p>
        </w:tc>
        <w:tc>
          <w:tcPr>
            <w:tcW w:w="237" w:type="dxa"/>
            <w:tcBorders>
              <w:top w:val="nil"/>
              <w:left w:val="nil"/>
              <w:bottom w:val="single" w:color="auto" w:sz="8" w:space="0"/>
              <w:right w:val="nil"/>
            </w:tcBorders>
            <w:vAlign w:val="center"/>
          </w:tcPr>
          <w:p>
            <w:pPr>
              <w:spacing w:line="360" w:lineRule="auto"/>
              <w:jc w:val="center"/>
              <w:rPr>
                <w:rFonts w:ascii="宋体" w:hAnsi="宋体" w:eastAsia="宋体" w:cs="宋体"/>
                <w:color w:val="000000"/>
                <w:sz w:val="21"/>
                <w:szCs w:val="21"/>
              </w:rPr>
            </w:pPr>
          </w:p>
        </w:tc>
        <w:tc>
          <w:tcPr>
            <w:tcW w:w="980" w:type="dxa"/>
            <w:tcBorders>
              <w:top w:val="nil"/>
              <w:left w:val="nil"/>
              <w:bottom w:val="single" w:color="auto" w:sz="8" w:space="0"/>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20</w:t>
            </w:r>
          </w:p>
        </w:tc>
        <w:tc>
          <w:tcPr>
            <w:tcW w:w="1223" w:type="dxa"/>
            <w:tcBorders>
              <w:top w:val="nil"/>
              <w:left w:val="nil"/>
              <w:bottom w:val="single" w:color="auto" w:sz="8" w:space="0"/>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41.67%</w:t>
            </w:r>
          </w:p>
        </w:tc>
        <w:tc>
          <w:tcPr>
            <w:tcW w:w="237" w:type="dxa"/>
            <w:tcBorders>
              <w:top w:val="nil"/>
              <w:left w:val="nil"/>
              <w:bottom w:val="single" w:color="auto" w:sz="8" w:space="0"/>
              <w:right w:val="nil"/>
            </w:tcBorders>
            <w:vAlign w:val="center"/>
          </w:tcPr>
          <w:p>
            <w:pPr>
              <w:spacing w:line="360" w:lineRule="auto"/>
              <w:jc w:val="center"/>
              <w:rPr>
                <w:rFonts w:ascii="宋体" w:hAnsi="宋体" w:eastAsia="宋体" w:cs="宋体"/>
                <w:color w:val="000000"/>
                <w:sz w:val="21"/>
                <w:szCs w:val="21"/>
              </w:rPr>
            </w:pPr>
          </w:p>
        </w:tc>
        <w:tc>
          <w:tcPr>
            <w:tcW w:w="1022" w:type="dxa"/>
            <w:tcBorders>
              <w:top w:val="nil"/>
              <w:left w:val="nil"/>
              <w:bottom w:val="single" w:color="auto" w:sz="8" w:space="0"/>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27</w:t>
            </w:r>
          </w:p>
        </w:tc>
        <w:tc>
          <w:tcPr>
            <w:tcW w:w="1365" w:type="dxa"/>
            <w:tcBorders>
              <w:top w:val="nil"/>
              <w:left w:val="nil"/>
              <w:bottom w:val="single" w:color="auto" w:sz="8" w:space="0"/>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33.33%</w:t>
            </w:r>
          </w:p>
        </w:tc>
      </w:tr>
      <w:tr>
        <w:tblPrEx>
          <w:tblCellMar>
            <w:top w:w="0" w:type="dxa"/>
            <w:left w:w="108" w:type="dxa"/>
            <w:bottom w:w="0" w:type="dxa"/>
            <w:right w:w="108" w:type="dxa"/>
          </w:tblCellMar>
        </w:tblPrEx>
        <w:trPr>
          <w:trHeight w:val="90" w:hRule="atLeast"/>
        </w:trPr>
        <w:tc>
          <w:tcPr>
            <w:tcW w:w="1148" w:type="dxa"/>
            <w:tcBorders>
              <w:top w:val="nil"/>
              <w:left w:val="nil"/>
              <w:bottom w:val="single" w:color="auto" w:sz="8" w:space="0"/>
              <w:right w:val="nil"/>
            </w:tcBorders>
            <w:vAlign w:val="center"/>
          </w:tcPr>
          <w:p>
            <w:pPr>
              <w:spacing w:line="360" w:lineRule="auto"/>
              <w:jc w:val="center"/>
              <w:rPr>
                <w:rFonts w:ascii="宋体" w:hAnsi="宋体" w:eastAsia="宋体"/>
                <w:color w:val="000000"/>
                <w:sz w:val="21"/>
                <w:szCs w:val="21"/>
              </w:rPr>
            </w:pPr>
            <w:r>
              <w:rPr>
                <w:rFonts w:hint="eastAsia" w:ascii="宋体" w:hAnsi="宋体" w:eastAsia="宋体"/>
                <w:color w:val="000000"/>
                <w:sz w:val="21"/>
                <w:szCs w:val="21"/>
              </w:rPr>
              <w:t>合计</w:t>
            </w:r>
          </w:p>
        </w:tc>
        <w:tc>
          <w:tcPr>
            <w:tcW w:w="998" w:type="dxa"/>
            <w:tcBorders>
              <w:top w:val="nil"/>
              <w:left w:val="nil"/>
              <w:bottom w:val="single" w:color="auto" w:sz="8" w:space="0"/>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156</w:t>
            </w:r>
          </w:p>
        </w:tc>
        <w:tc>
          <w:tcPr>
            <w:tcW w:w="1309" w:type="dxa"/>
            <w:tcBorders>
              <w:top w:val="nil"/>
              <w:left w:val="nil"/>
              <w:bottom w:val="single" w:color="auto" w:sz="8" w:space="0"/>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28.21%</w:t>
            </w:r>
          </w:p>
        </w:tc>
        <w:tc>
          <w:tcPr>
            <w:tcW w:w="237" w:type="dxa"/>
            <w:tcBorders>
              <w:top w:val="nil"/>
              <w:left w:val="nil"/>
              <w:bottom w:val="single" w:color="auto" w:sz="8" w:space="0"/>
              <w:right w:val="nil"/>
            </w:tcBorders>
            <w:vAlign w:val="center"/>
          </w:tcPr>
          <w:p>
            <w:pPr>
              <w:spacing w:line="360" w:lineRule="auto"/>
              <w:jc w:val="center"/>
              <w:rPr>
                <w:rFonts w:ascii="宋体" w:hAnsi="宋体" w:eastAsia="宋体" w:cs="宋体"/>
                <w:color w:val="000000"/>
                <w:sz w:val="21"/>
                <w:szCs w:val="21"/>
              </w:rPr>
            </w:pPr>
          </w:p>
        </w:tc>
        <w:tc>
          <w:tcPr>
            <w:tcW w:w="980" w:type="dxa"/>
            <w:tcBorders>
              <w:top w:val="nil"/>
              <w:left w:val="nil"/>
              <w:bottom w:val="single" w:color="auto" w:sz="8" w:space="0"/>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235</w:t>
            </w:r>
          </w:p>
        </w:tc>
        <w:tc>
          <w:tcPr>
            <w:tcW w:w="1223" w:type="dxa"/>
            <w:tcBorders>
              <w:top w:val="nil"/>
              <w:left w:val="nil"/>
              <w:bottom w:val="single" w:color="auto" w:sz="8" w:space="0"/>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32.32%</w:t>
            </w:r>
          </w:p>
        </w:tc>
        <w:tc>
          <w:tcPr>
            <w:tcW w:w="237" w:type="dxa"/>
            <w:tcBorders>
              <w:top w:val="nil"/>
              <w:left w:val="nil"/>
              <w:bottom w:val="single" w:color="auto" w:sz="8" w:space="0"/>
              <w:right w:val="nil"/>
            </w:tcBorders>
            <w:vAlign w:val="center"/>
          </w:tcPr>
          <w:p>
            <w:pPr>
              <w:spacing w:line="360" w:lineRule="auto"/>
              <w:jc w:val="center"/>
              <w:rPr>
                <w:rFonts w:ascii="宋体" w:hAnsi="宋体" w:eastAsia="宋体" w:cs="宋体"/>
                <w:color w:val="000000"/>
                <w:sz w:val="21"/>
                <w:szCs w:val="21"/>
              </w:rPr>
            </w:pPr>
          </w:p>
        </w:tc>
        <w:tc>
          <w:tcPr>
            <w:tcW w:w="1022" w:type="dxa"/>
            <w:tcBorders>
              <w:top w:val="nil"/>
              <w:left w:val="nil"/>
              <w:bottom w:val="single" w:color="auto" w:sz="8" w:space="0"/>
              <w:right w:val="nil"/>
            </w:tcBorders>
            <w:noWrap/>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391</w:t>
            </w:r>
          </w:p>
        </w:tc>
        <w:tc>
          <w:tcPr>
            <w:tcW w:w="1365" w:type="dxa"/>
            <w:tcBorders>
              <w:top w:val="nil"/>
              <w:left w:val="nil"/>
              <w:bottom w:val="single" w:color="auto" w:sz="8" w:space="0"/>
              <w:right w:val="nil"/>
            </w:tcBorders>
          </w:tcPr>
          <w:p>
            <w:pPr>
              <w:spacing w:line="360" w:lineRule="auto"/>
              <w:jc w:val="center"/>
              <w:rPr>
                <w:rFonts w:ascii="宋体" w:hAnsi="宋体" w:eastAsia="宋体" w:cs="Arial"/>
                <w:color w:val="000000"/>
                <w:sz w:val="21"/>
                <w:szCs w:val="21"/>
              </w:rPr>
            </w:pPr>
            <w:r>
              <w:rPr>
                <w:rFonts w:ascii="宋体" w:hAnsi="宋体" w:eastAsia="宋体" w:cs="Arial"/>
                <w:color w:val="000000"/>
                <w:sz w:val="21"/>
                <w:szCs w:val="21"/>
              </w:rPr>
              <w:t>30.55%</w:t>
            </w:r>
          </w:p>
        </w:tc>
      </w:tr>
    </w:tbl>
    <w:p>
      <w:pPr>
        <w:spacing w:beforeLines="50" w:afterLines="50" w:line="360" w:lineRule="auto"/>
        <w:ind w:firstLine="440" w:firstLineChars="200"/>
        <w:rPr>
          <w:rFonts w:ascii="Calibri" w:hAnsi="Calibri" w:eastAsia="宋体" w:cs="Times New Roman"/>
        </w:rPr>
      </w:pPr>
      <w:r>
        <w:rPr>
          <w:rFonts w:ascii="Calibri" w:hAnsi="Calibri" w:eastAsia="宋体" w:cs="Times New Roman"/>
        </w:rPr>
        <w:drawing>
          <wp:inline distT="0" distB="0" distL="0" distR="0">
            <wp:extent cx="5076825" cy="2352675"/>
            <wp:effectExtent l="19050" t="0" r="9525" b="0"/>
            <wp:docPr id="4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spacing w:beforeLines="50" w:afterLines="50" w:line="360" w:lineRule="auto"/>
        <w:ind w:firstLine="440" w:firstLineChars="200"/>
        <w:jc w:val="center"/>
        <w:rPr>
          <w:rFonts w:ascii="宋体" w:hAnsi="宋体" w:eastAsia="宋体" w:cs="Times New Roman"/>
        </w:rPr>
      </w:pPr>
      <w:r>
        <w:rPr>
          <w:rFonts w:hint="eastAsia" w:ascii="宋体" w:hAnsi="宋体" w:eastAsia="宋体" w:cs="Times New Roman"/>
        </w:rPr>
        <w:t>图</w:t>
      </w:r>
      <w:r>
        <w:rPr>
          <w:rFonts w:ascii="宋体" w:hAnsi="宋体" w:eastAsia="宋体" w:cs="Times New Roman"/>
        </w:rPr>
        <w:t>28</w:t>
      </w:r>
      <w:r>
        <w:rPr>
          <w:rFonts w:hint="eastAsia" w:ascii="宋体" w:hAnsi="宋体" w:eastAsia="宋体" w:cs="Times New Roman"/>
        </w:rPr>
        <w:t xml:space="preserve">  调查对象分年龄组中心性肥胖患病率（%）</w:t>
      </w:r>
    </w:p>
    <w:p>
      <w:pPr>
        <w:spacing w:line="360" w:lineRule="auto"/>
        <w:ind w:firstLine="275" w:firstLineChars="98"/>
        <w:rPr>
          <w:rFonts w:ascii="宋体" w:hAnsi="宋体" w:eastAsia="宋体"/>
          <w:b/>
          <w:sz w:val="28"/>
          <w:szCs w:val="28"/>
        </w:rPr>
      </w:pPr>
      <w:r>
        <w:rPr>
          <w:rFonts w:hint="eastAsia" w:ascii="宋体" w:hAnsi="宋体" w:eastAsia="宋体"/>
          <w:b/>
          <w:sz w:val="28"/>
          <w:szCs w:val="28"/>
        </w:rPr>
        <w:t>8、消化系统患病情况</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调查人群消化道疾病患病率为8.93%，男性消化道疾病患病率为7.93%，女性消化道疾病患病率为9.69%。18～、30～、40～、50～、60～、70～、80～年龄组患病率分别为0.00%、4.69%、4.78%、7.49%、14.08%、11.74%、4.94%。60～69岁组患病率最高。用全国2010年第六次人口普查数据性别年龄标化后，调查人群的标化患病率为</w:t>
      </w:r>
      <w:r>
        <w:rPr>
          <w:rFonts w:cs="Times New Roman" w:asciiTheme="minorEastAsia" w:hAnsiTheme="minorEastAsia" w:eastAsiaTheme="minorEastAsia"/>
          <w:sz w:val="24"/>
          <w:szCs w:val="24"/>
        </w:rPr>
        <w:t>4.79</w:t>
      </w:r>
      <w:r>
        <w:rPr>
          <w:rFonts w:hint="eastAsia" w:cs="Times New Roman" w:asciiTheme="minorEastAsia" w:hAnsiTheme="minorEastAsia" w:eastAsiaTheme="minorEastAsia"/>
          <w:sz w:val="24"/>
          <w:szCs w:val="24"/>
        </w:rPr>
        <w:t>%，男性标化患病率为</w:t>
      </w:r>
      <w:r>
        <w:rPr>
          <w:rFonts w:cs="Times New Roman" w:asciiTheme="minorEastAsia" w:hAnsiTheme="minorEastAsia" w:eastAsiaTheme="minorEastAsia"/>
          <w:sz w:val="24"/>
          <w:szCs w:val="24"/>
        </w:rPr>
        <w:t>4.05</w:t>
      </w:r>
      <w:r>
        <w:rPr>
          <w:rFonts w:hint="eastAsia" w:cs="Times New Roman" w:asciiTheme="minorEastAsia" w:hAnsiTheme="minorEastAsia" w:eastAsiaTheme="minorEastAsia"/>
          <w:sz w:val="24"/>
          <w:szCs w:val="24"/>
        </w:rPr>
        <w:t>%，女性为5.55%。见表15. 见图</w:t>
      </w:r>
      <w:r>
        <w:rPr>
          <w:rFonts w:cs="Times New Roman" w:asciiTheme="minorEastAsia" w:hAnsiTheme="minorEastAsia" w:eastAsiaTheme="minorEastAsia"/>
          <w:sz w:val="24"/>
          <w:szCs w:val="24"/>
        </w:rPr>
        <w:t>29</w:t>
      </w:r>
      <w:r>
        <w:rPr>
          <w:rFonts w:hint="eastAsia" w:cs="Times New Roman" w:asciiTheme="minorEastAsia" w:hAnsiTheme="minorEastAsia" w:eastAsiaTheme="minorEastAsia"/>
          <w:sz w:val="24"/>
          <w:szCs w:val="24"/>
        </w:rPr>
        <w:t>.</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表15   调查对象分年龄组消化道疾病患病率</w:t>
      </w:r>
      <w:r>
        <w:rPr>
          <w:rFonts w:hint="eastAsia" w:cs="Times New Roman" w:asciiTheme="minorEastAsia" w:hAnsiTheme="minorEastAsia" w:eastAsiaTheme="minorEastAsia"/>
        </w:rPr>
        <w:t>（%）</w:t>
      </w:r>
    </w:p>
    <w:tbl>
      <w:tblPr>
        <w:tblStyle w:val="11"/>
        <w:tblW w:w="8519" w:type="dxa"/>
        <w:tblInd w:w="0" w:type="dxa"/>
        <w:tblLayout w:type="fixed"/>
        <w:tblCellMar>
          <w:top w:w="0" w:type="dxa"/>
          <w:left w:w="108" w:type="dxa"/>
          <w:bottom w:w="0" w:type="dxa"/>
          <w:right w:w="108" w:type="dxa"/>
        </w:tblCellMar>
      </w:tblPr>
      <w:tblGrid>
        <w:gridCol w:w="1148"/>
        <w:gridCol w:w="998"/>
        <w:gridCol w:w="1309"/>
        <w:gridCol w:w="237"/>
        <w:gridCol w:w="980"/>
        <w:gridCol w:w="1223"/>
        <w:gridCol w:w="237"/>
        <w:gridCol w:w="1022"/>
        <w:gridCol w:w="1365"/>
      </w:tblGrid>
      <w:tr>
        <w:tblPrEx>
          <w:tblCellMar>
            <w:top w:w="0" w:type="dxa"/>
            <w:left w:w="108" w:type="dxa"/>
            <w:bottom w:w="0" w:type="dxa"/>
            <w:right w:w="108" w:type="dxa"/>
          </w:tblCellMar>
        </w:tblPrEx>
        <w:trPr>
          <w:trHeight w:val="90" w:hRule="atLeast"/>
        </w:trPr>
        <w:tc>
          <w:tcPr>
            <w:tcW w:w="1148" w:type="dxa"/>
            <w:vMerge w:val="restart"/>
            <w:tcBorders>
              <w:top w:val="single" w:color="auto" w:sz="8" w:space="0"/>
              <w:left w:val="nil"/>
              <w:bottom w:val="single" w:color="000000"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年龄</w:t>
            </w:r>
          </w:p>
        </w:tc>
        <w:tc>
          <w:tcPr>
            <w:tcW w:w="2307"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37"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2203"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237" w:type="dxa"/>
            <w:tcBorders>
              <w:top w:val="single" w:color="auto" w:sz="8"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w:t>
            </w:r>
          </w:p>
        </w:tc>
        <w:tc>
          <w:tcPr>
            <w:tcW w:w="2387" w:type="dxa"/>
            <w:gridSpan w:val="2"/>
            <w:tcBorders>
              <w:top w:val="single" w:color="auto" w:sz="8"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90" w:hRule="atLeast"/>
        </w:trPr>
        <w:tc>
          <w:tcPr>
            <w:tcW w:w="1148" w:type="dxa"/>
            <w:vMerge w:val="continue"/>
            <w:tcBorders>
              <w:top w:val="single" w:color="auto" w:sz="8"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998"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309"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c>
          <w:tcPr>
            <w:tcW w:w="237"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980"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223"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c>
          <w:tcPr>
            <w:tcW w:w="237"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p>
        </w:tc>
        <w:tc>
          <w:tcPr>
            <w:tcW w:w="1022"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365" w:type="dxa"/>
            <w:tcBorders>
              <w:top w:val="nil"/>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患病率</w:t>
            </w:r>
          </w:p>
        </w:tc>
      </w:tr>
      <w:tr>
        <w:tblPrEx>
          <w:tblCellMar>
            <w:top w:w="0" w:type="dxa"/>
            <w:left w:w="108" w:type="dxa"/>
            <w:bottom w:w="0" w:type="dxa"/>
            <w:right w:w="108" w:type="dxa"/>
          </w:tblCellMar>
        </w:tblPrEx>
        <w:trPr>
          <w:trHeight w:val="90" w:hRule="atLeast"/>
        </w:trPr>
        <w:tc>
          <w:tcPr>
            <w:tcW w:w="1148"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18～</w:t>
            </w:r>
          </w:p>
        </w:tc>
        <w:tc>
          <w:tcPr>
            <w:tcW w:w="998" w:type="dxa"/>
            <w:tcBorders>
              <w:top w:val="single" w:color="auto" w:sz="4" w:space="0"/>
              <w:left w:val="nil"/>
              <w:bottom w:val="nil"/>
              <w:right w:val="nil"/>
            </w:tcBorders>
            <w:noWrap/>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0</w:t>
            </w:r>
          </w:p>
        </w:tc>
        <w:tc>
          <w:tcPr>
            <w:tcW w:w="1309" w:type="dxa"/>
            <w:tcBorders>
              <w:top w:val="single" w:color="auto" w:sz="4" w:space="0"/>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0.00%</w:t>
            </w:r>
          </w:p>
        </w:tc>
        <w:tc>
          <w:tcPr>
            <w:tcW w:w="237" w:type="dxa"/>
            <w:tcBorders>
              <w:top w:val="single" w:color="auto" w:sz="4" w:space="0"/>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980" w:type="dxa"/>
            <w:tcBorders>
              <w:top w:val="single" w:color="auto" w:sz="4" w:space="0"/>
              <w:left w:val="nil"/>
              <w:bottom w:val="nil"/>
              <w:right w:val="nil"/>
            </w:tcBorders>
            <w:noWrap/>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0</w:t>
            </w:r>
          </w:p>
        </w:tc>
        <w:tc>
          <w:tcPr>
            <w:tcW w:w="1223" w:type="dxa"/>
            <w:tcBorders>
              <w:top w:val="single" w:color="auto" w:sz="4" w:space="0"/>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0.00%</w:t>
            </w:r>
          </w:p>
        </w:tc>
        <w:tc>
          <w:tcPr>
            <w:tcW w:w="237" w:type="dxa"/>
            <w:tcBorders>
              <w:top w:val="single" w:color="auto" w:sz="4" w:space="0"/>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1022" w:type="dxa"/>
            <w:tcBorders>
              <w:top w:val="single" w:color="auto" w:sz="4" w:space="0"/>
              <w:left w:val="nil"/>
              <w:bottom w:val="nil"/>
              <w:right w:val="nil"/>
            </w:tcBorders>
            <w:noWrap/>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0</w:t>
            </w:r>
          </w:p>
        </w:tc>
        <w:tc>
          <w:tcPr>
            <w:tcW w:w="1365" w:type="dxa"/>
            <w:tcBorders>
              <w:top w:val="single" w:color="auto" w:sz="4" w:space="0"/>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0.00%</w:t>
            </w:r>
          </w:p>
        </w:tc>
      </w:tr>
      <w:tr>
        <w:tblPrEx>
          <w:tblCellMar>
            <w:top w:w="0" w:type="dxa"/>
            <w:left w:w="108" w:type="dxa"/>
            <w:bottom w:w="0" w:type="dxa"/>
            <w:right w:w="108" w:type="dxa"/>
          </w:tblCellMar>
        </w:tblPrEx>
        <w:trPr>
          <w:trHeight w:val="289" w:hRule="atLeast"/>
        </w:trPr>
        <w:tc>
          <w:tcPr>
            <w:tcW w:w="114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30～</w:t>
            </w:r>
          </w:p>
        </w:tc>
        <w:tc>
          <w:tcPr>
            <w:tcW w:w="998"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309"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4.00%</w:t>
            </w:r>
          </w:p>
        </w:tc>
        <w:tc>
          <w:tcPr>
            <w:tcW w:w="237"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980"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w:t>
            </w:r>
          </w:p>
        </w:tc>
        <w:tc>
          <w:tcPr>
            <w:tcW w:w="1223"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5.13%</w:t>
            </w:r>
          </w:p>
        </w:tc>
        <w:tc>
          <w:tcPr>
            <w:tcW w:w="237"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1022" w:type="dxa"/>
            <w:tcBorders>
              <w:top w:val="nil"/>
              <w:left w:val="nil"/>
              <w:bottom w:val="nil"/>
              <w:right w:val="nil"/>
            </w:tcBorders>
            <w:noWrap/>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w:t>
            </w:r>
          </w:p>
        </w:tc>
        <w:tc>
          <w:tcPr>
            <w:tcW w:w="1365"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4.69%</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40～</w:t>
            </w:r>
          </w:p>
        </w:tc>
        <w:tc>
          <w:tcPr>
            <w:tcW w:w="998"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w:t>
            </w:r>
          </w:p>
        </w:tc>
        <w:tc>
          <w:tcPr>
            <w:tcW w:w="1309"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6.67%</w:t>
            </w:r>
          </w:p>
        </w:tc>
        <w:tc>
          <w:tcPr>
            <w:tcW w:w="237"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980"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w:t>
            </w:r>
          </w:p>
        </w:tc>
        <w:tc>
          <w:tcPr>
            <w:tcW w:w="1223"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3.73%</w:t>
            </w:r>
          </w:p>
        </w:tc>
        <w:tc>
          <w:tcPr>
            <w:tcW w:w="237"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1022" w:type="dxa"/>
            <w:tcBorders>
              <w:top w:val="nil"/>
              <w:left w:val="nil"/>
              <w:bottom w:val="nil"/>
              <w:right w:val="nil"/>
            </w:tcBorders>
            <w:noWrap/>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w:t>
            </w:r>
          </w:p>
        </w:tc>
        <w:tc>
          <w:tcPr>
            <w:tcW w:w="1365"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4.78%</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50～</w:t>
            </w:r>
          </w:p>
        </w:tc>
        <w:tc>
          <w:tcPr>
            <w:tcW w:w="998"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w:t>
            </w:r>
          </w:p>
        </w:tc>
        <w:tc>
          <w:tcPr>
            <w:tcW w:w="1309"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5.44%</w:t>
            </w:r>
          </w:p>
        </w:tc>
        <w:tc>
          <w:tcPr>
            <w:tcW w:w="237"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980"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w:t>
            </w:r>
          </w:p>
        </w:tc>
        <w:tc>
          <w:tcPr>
            <w:tcW w:w="1223"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9.09%</w:t>
            </w:r>
          </w:p>
        </w:tc>
        <w:tc>
          <w:tcPr>
            <w:tcW w:w="237"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1022" w:type="dxa"/>
            <w:tcBorders>
              <w:top w:val="nil"/>
              <w:left w:val="nil"/>
              <w:bottom w:val="nil"/>
              <w:right w:val="nil"/>
            </w:tcBorders>
            <w:noWrap/>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25</w:t>
            </w:r>
          </w:p>
        </w:tc>
        <w:tc>
          <w:tcPr>
            <w:tcW w:w="1365"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7.49%</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60～</w:t>
            </w:r>
          </w:p>
        </w:tc>
        <w:tc>
          <w:tcPr>
            <w:tcW w:w="998"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16</w:t>
            </w:r>
          </w:p>
        </w:tc>
        <w:tc>
          <w:tcPr>
            <w:tcW w:w="1309"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11.27%</w:t>
            </w:r>
          </w:p>
        </w:tc>
        <w:tc>
          <w:tcPr>
            <w:tcW w:w="237"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980"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32</w:t>
            </w:r>
          </w:p>
        </w:tc>
        <w:tc>
          <w:tcPr>
            <w:tcW w:w="1223"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16.08%</w:t>
            </w:r>
          </w:p>
        </w:tc>
        <w:tc>
          <w:tcPr>
            <w:tcW w:w="237"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1022" w:type="dxa"/>
            <w:tcBorders>
              <w:top w:val="nil"/>
              <w:left w:val="nil"/>
              <w:bottom w:val="nil"/>
              <w:right w:val="nil"/>
            </w:tcBorders>
            <w:noWrap/>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48</w:t>
            </w:r>
          </w:p>
        </w:tc>
        <w:tc>
          <w:tcPr>
            <w:tcW w:w="1365"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14.08%</w:t>
            </w:r>
          </w:p>
        </w:tc>
      </w:tr>
      <w:tr>
        <w:tblPrEx>
          <w:tblCellMar>
            <w:top w:w="0" w:type="dxa"/>
            <w:left w:w="108" w:type="dxa"/>
            <w:bottom w:w="0" w:type="dxa"/>
            <w:right w:w="108" w:type="dxa"/>
          </w:tblCellMar>
        </w:tblPrEx>
        <w:trPr>
          <w:trHeight w:val="90" w:hRule="atLeast"/>
        </w:trPr>
        <w:tc>
          <w:tcPr>
            <w:tcW w:w="114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70～</w:t>
            </w:r>
          </w:p>
        </w:tc>
        <w:tc>
          <w:tcPr>
            <w:tcW w:w="998"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w:t>
            </w:r>
          </w:p>
        </w:tc>
        <w:tc>
          <w:tcPr>
            <w:tcW w:w="1309"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11.71%</w:t>
            </w:r>
          </w:p>
        </w:tc>
        <w:tc>
          <w:tcPr>
            <w:tcW w:w="237"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980"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w:t>
            </w:r>
          </w:p>
        </w:tc>
        <w:tc>
          <w:tcPr>
            <w:tcW w:w="1223"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11.76%</w:t>
            </w:r>
          </w:p>
        </w:tc>
        <w:tc>
          <w:tcPr>
            <w:tcW w:w="237"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1022" w:type="dxa"/>
            <w:tcBorders>
              <w:top w:val="nil"/>
              <w:left w:val="nil"/>
              <w:bottom w:val="nil"/>
              <w:right w:val="nil"/>
            </w:tcBorders>
            <w:noWrap/>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25</w:t>
            </w:r>
          </w:p>
        </w:tc>
        <w:tc>
          <w:tcPr>
            <w:tcW w:w="1365" w:type="dxa"/>
            <w:tcBorders>
              <w:top w:val="nil"/>
              <w:left w:val="nil"/>
              <w:bottom w:val="nil"/>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11.74%</w:t>
            </w:r>
          </w:p>
        </w:tc>
      </w:tr>
      <w:tr>
        <w:tblPrEx>
          <w:tblCellMar>
            <w:top w:w="0" w:type="dxa"/>
            <w:left w:w="108" w:type="dxa"/>
            <w:bottom w:w="0" w:type="dxa"/>
            <w:right w:w="108" w:type="dxa"/>
          </w:tblCellMar>
        </w:tblPrEx>
        <w:trPr>
          <w:trHeight w:val="243" w:hRule="atLeast"/>
        </w:trPr>
        <w:tc>
          <w:tcPr>
            <w:tcW w:w="1148" w:type="dxa"/>
            <w:tcBorders>
              <w:top w:val="nil"/>
              <w:left w:val="nil"/>
              <w:bottom w:val="single" w:color="auto" w:sz="8"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80～</w:t>
            </w:r>
          </w:p>
        </w:tc>
        <w:tc>
          <w:tcPr>
            <w:tcW w:w="998"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309" w:type="dxa"/>
            <w:tcBorders>
              <w:top w:val="nil"/>
              <w:left w:val="nil"/>
              <w:bottom w:val="single" w:color="auto" w:sz="8" w:space="0"/>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3.03%</w:t>
            </w:r>
          </w:p>
        </w:tc>
        <w:tc>
          <w:tcPr>
            <w:tcW w:w="237" w:type="dxa"/>
            <w:tcBorders>
              <w:top w:val="nil"/>
              <w:left w:val="nil"/>
              <w:bottom w:val="single" w:color="auto" w:sz="8" w:space="0"/>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980"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1223" w:type="dxa"/>
            <w:tcBorders>
              <w:top w:val="nil"/>
              <w:left w:val="nil"/>
              <w:bottom w:val="single" w:color="auto" w:sz="8" w:space="0"/>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6.25%</w:t>
            </w:r>
          </w:p>
        </w:tc>
        <w:tc>
          <w:tcPr>
            <w:tcW w:w="237" w:type="dxa"/>
            <w:tcBorders>
              <w:top w:val="nil"/>
              <w:left w:val="nil"/>
              <w:bottom w:val="single" w:color="auto" w:sz="8" w:space="0"/>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1022" w:type="dxa"/>
            <w:tcBorders>
              <w:top w:val="nil"/>
              <w:left w:val="nil"/>
              <w:bottom w:val="single" w:color="auto" w:sz="8" w:space="0"/>
              <w:right w:val="nil"/>
            </w:tcBorders>
            <w:noWrap/>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w:t>
            </w:r>
          </w:p>
        </w:tc>
        <w:tc>
          <w:tcPr>
            <w:tcW w:w="1365" w:type="dxa"/>
            <w:tcBorders>
              <w:top w:val="nil"/>
              <w:left w:val="nil"/>
              <w:bottom w:val="single" w:color="auto" w:sz="8" w:space="0"/>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4.94%</w:t>
            </w:r>
          </w:p>
        </w:tc>
      </w:tr>
      <w:tr>
        <w:tblPrEx>
          <w:tblCellMar>
            <w:top w:w="0" w:type="dxa"/>
            <w:left w:w="108" w:type="dxa"/>
            <w:bottom w:w="0" w:type="dxa"/>
            <w:right w:w="108" w:type="dxa"/>
          </w:tblCellMar>
        </w:tblPrEx>
        <w:trPr>
          <w:trHeight w:val="90" w:hRule="atLeast"/>
        </w:trPr>
        <w:tc>
          <w:tcPr>
            <w:tcW w:w="1148" w:type="dxa"/>
            <w:tcBorders>
              <w:top w:val="nil"/>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998"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44</w:t>
            </w:r>
          </w:p>
        </w:tc>
        <w:tc>
          <w:tcPr>
            <w:tcW w:w="1309" w:type="dxa"/>
            <w:tcBorders>
              <w:top w:val="nil"/>
              <w:left w:val="nil"/>
              <w:bottom w:val="single" w:color="auto" w:sz="8" w:space="0"/>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7.93%</w:t>
            </w:r>
          </w:p>
        </w:tc>
        <w:tc>
          <w:tcPr>
            <w:tcW w:w="237" w:type="dxa"/>
            <w:tcBorders>
              <w:top w:val="nil"/>
              <w:left w:val="nil"/>
              <w:bottom w:val="single" w:color="auto" w:sz="8" w:space="0"/>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980"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71</w:t>
            </w:r>
          </w:p>
        </w:tc>
        <w:tc>
          <w:tcPr>
            <w:tcW w:w="1223" w:type="dxa"/>
            <w:tcBorders>
              <w:top w:val="nil"/>
              <w:left w:val="nil"/>
              <w:bottom w:val="single" w:color="auto" w:sz="8" w:space="0"/>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9.69%</w:t>
            </w:r>
          </w:p>
        </w:tc>
        <w:tc>
          <w:tcPr>
            <w:tcW w:w="237" w:type="dxa"/>
            <w:tcBorders>
              <w:top w:val="nil"/>
              <w:left w:val="nil"/>
              <w:bottom w:val="single" w:color="auto" w:sz="8" w:space="0"/>
              <w:right w:val="nil"/>
            </w:tcBorders>
            <w:vAlign w:val="bottom"/>
          </w:tcPr>
          <w:p>
            <w:pPr>
              <w:spacing w:line="360" w:lineRule="auto"/>
              <w:jc w:val="center"/>
              <w:rPr>
                <w:rFonts w:cs="宋体" w:asciiTheme="minorEastAsia" w:hAnsiTheme="minorEastAsia" w:eastAsiaTheme="minorEastAsia"/>
                <w:color w:val="000000"/>
                <w:sz w:val="21"/>
                <w:szCs w:val="21"/>
              </w:rPr>
            </w:pPr>
          </w:p>
        </w:tc>
        <w:tc>
          <w:tcPr>
            <w:tcW w:w="1022" w:type="dxa"/>
            <w:tcBorders>
              <w:top w:val="nil"/>
              <w:left w:val="nil"/>
              <w:bottom w:val="single" w:color="auto" w:sz="8" w:space="0"/>
              <w:right w:val="nil"/>
            </w:tcBorders>
            <w:noWrap/>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115</w:t>
            </w:r>
          </w:p>
        </w:tc>
        <w:tc>
          <w:tcPr>
            <w:tcW w:w="1365" w:type="dxa"/>
            <w:tcBorders>
              <w:top w:val="nil"/>
              <w:left w:val="nil"/>
              <w:bottom w:val="single" w:color="auto" w:sz="8" w:space="0"/>
              <w:right w:val="nil"/>
            </w:tcBorders>
            <w:vAlign w:val="bottom"/>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8.93%</w:t>
            </w:r>
          </w:p>
        </w:tc>
      </w:tr>
    </w:tbl>
    <w:p>
      <w:pPr>
        <w:spacing w:beforeLines="50" w:afterLines="50" w:line="360" w:lineRule="auto"/>
        <w:ind w:firstLine="440" w:firstLineChars="200"/>
        <w:rPr>
          <w:rFonts w:ascii="Calibri" w:hAnsi="Calibri" w:eastAsia="宋体" w:cs="Times New Roman"/>
        </w:rPr>
      </w:pPr>
      <w:r>
        <w:rPr>
          <w:rFonts w:ascii="Calibri" w:hAnsi="Calibri" w:eastAsia="宋体" w:cs="Times New Roman"/>
        </w:rPr>
        <w:drawing>
          <wp:inline distT="0" distB="0" distL="0" distR="0">
            <wp:extent cx="5521960" cy="2606040"/>
            <wp:effectExtent l="19050" t="0" r="21590" b="3810"/>
            <wp:docPr id="4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spacing w:beforeLines="50" w:afterLines="50" w:line="360" w:lineRule="auto"/>
        <w:ind w:firstLine="440" w:firstLineChars="200"/>
        <w:jc w:val="center"/>
        <w:rPr>
          <w:rFonts w:ascii="宋体" w:hAnsi="宋体" w:eastAsia="宋体" w:cs="Times New Roman"/>
        </w:rPr>
      </w:pPr>
      <w:r>
        <w:rPr>
          <w:rFonts w:hint="eastAsia" w:ascii="宋体" w:hAnsi="宋体" w:eastAsia="宋体" w:cs="Times New Roman"/>
        </w:rPr>
        <w:t>图</w:t>
      </w:r>
      <w:r>
        <w:rPr>
          <w:rFonts w:ascii="宋体" w:hAnsi="宋体" w:eastAsia="宋体" w:cs="Times New Roman"/>
        </w:rPr>
        <w:t>29</w:t>
      </w:r>
      <w:r>
        <w:rPr>
          <w:rFonts w:hint="eastAsia" w:ascii="宋体" w:hAnsi="宋体" w:eastAsia="宋体" w:cs="Times New Roman"/>
        </w:rPr>
        <w:t xml:space="preserve">  调查对象分年龄组消化道疾病患病率（%）</w:t>
      </w:r>
    </w:p>
    <w:p>
      <w:pPr>
        <w:pStyle w:val="10"/>
        <w:spacing w:before="0" w:after="0" w:line="360" w:lineRule="auto"/>
        <w:rPr>
          <w:rFonts w:ascii="Times New Roman" w:hAnsi="宋体" w:cs="Times New Roman"/>
          <w:kern w:val="0"/>
        </w:rPr>
      </w:pPr>
    </w:p>
    <w:p>
      <w:pPr>
        <w:pStyle w:val="10"/>
        <w:spacing w:before="0" w:after="0" w:line="360" w:lineRule="auto"/>
        <w:rPr>
          <w:rFonts w:ascii="微软雅黑" w:hAnsi="微软雅黑" w:eastAsia="微软雅黑" w:cs="Times New Roman"/>
          <w:kern w:val="0"/>
          <w:sz w:val="36"/>
          <w:szCs w:val="36"/>
        </w:rPr>
      </w:pPr>
      <w:r>
        <w:rPr>
          <w:rFonts w:hint="eastAsia" w:ascii="微软雅黑" w:hAnsi="微软雅黑" w:eastAsia="微软雅黑" w:cs="Times New Roman"/>
          <w:kern w:val="0"/>
          <w:sz w:val="36"/>
          <w:szCs w:val="36"/>
        </w:rPr>
        <w:t>五</w:t>
      </w:r>
      <w:r>
        <w:rPr>
          <w:rFonts w:ascii="微软雅黑" w:hAnsi="微软雅黑" w:eastAsia="微软雅黑" w:cs="Times New Roman"/>
          <w:kern w:val="0"/>
          <w:sz w:val="36"/>
          <w:szCs w:val="36"/>
        </w:rPr>
        <w:t>、</w:t>
      </w:r>
      <w:r>
        <w:rPr>
          <w:rFonts w:hint="eastAsia" w:ascii="微软雅黑" w:hAnsi="微软雅黑" w:eastAsia="微软雅黑" w:cs="Times New Roman"/>
          <w:kern w:val="0"/>
          <w:sz w:val="36"/>
          <w:szCs w:val="36"/>
        </w:rPr>
        <w:t>慢性病</w:t>
      </w:r>
      <w:r>
        <w:rPr>
          <w:rFonts w:ascii="微软雅黑" w:hAnsi="微软雅黑" w:eastAsia="微软雅黑" w:cs="Times New Roman"/>
          <w:kern w:val="0"/>
          <w:sz w:val="36"/>
          <w:szCs w:val="36"/>
        </w:rPr>
        <w:t>危险因素现状</w:t>
      </w:r>
    </w:p>
    <w:p>
      <w:pPr>
        <w:pStyle w:val="10"/>
        <w:spacing w:before="0" w:after="0" w:line="360" w:lineRule="auto"/>
        <w:rPr>
          <w:rFonts w:ascii="Times New Roman" w:hAnsi="Times New Roman" w:cs="Times New Roman"/>
          <w:kern w:val="0"/>
        </w:rPr>
      </w:pPr>
    </w:p>
    <w:p>
      <w:pPr>
        <w:spacing w:after="0" w:line="360" w:lineRule="auto"/>
        <w:ind w:firstLine="315" w:firstLineChars="98"/>
        <w:rPr>
          <w:rFonts w:asciiTheme="minorEastAsia" w:hAnsiTheme="minorEastAsia" w:eastAsiaTheme="minorEastAsia"/>
          <w:sz w:val="32"/>
          <w:szCs w:val="32"/>
        </w:rPr>
      </w:pPr>
      <w:bookmarkStart w:id="20" w:name="_Toc364026662"/>
      <w:r>
        <w:rPr>
          <w:rFonts w:asciiTheme="minorEastAsia" w:hAnsiTheme="minorEastAsia" w:eastAsiaTheme="minorEastAsia"/>
          <w:b/>
          <w:sz w:val="32"/>
          <w:szCs w:val="32"/>
        </w:rPr>
        <w:t>（一）吸烟</w:t>
      </w:r>
    </w:p>
    <w:p>
      <w:pPr>
        <w:spacing w:after="0"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1、吸烟率</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调查对象的现在吸烟率为14.98%（193/1288），男性现在吸烟率为33.51%（186/555），女性现在吸烟率为0.95%（7/733）。男性现在吸烟率高于女性现在吸烟率</w:t>
      </w:r>
      <w:bookmarkStart w:id="21" w:name="_Hlk479865645"/>
      <w:r>
        <w:rPr>
          <w:rFonts w:hint="eastAsia" w:cs="Times New Roman" w:asciiTheme="minorEastAsia" w:hAnsiTheme="minorEastAsia" w:eastAsiaTheme="minorEastAsia"/>
          <w:sz w:val="24"/>
          <w:szCs w:val="24"/>
        </w:rPr>
        <w:t>。</w:t>
      </w:r>
      <w:bookmarkEnd w:id="21"/>
      <w:r>
        <w:rPr>
          <w:rFonts w:hint="eastAsia" w:cs="Times New Roman" w:asciiTheme="minorEastAsia" w:hAnsiTheme="minorEastAsia" w:eastAsiaTheme="minorEastAsia"/>
          <w:sz w:val="24"/>
          <w:szCs w:val="24"/>
        </w:rPr>
        <w:t>18～、30～、40～、50～、60～、70～、80～年龄组现在吸烟率分别为13.04%、14.06%、16.75%、19.76%、14.08%、10.80%、7.41%。男性18～、30～、40～、50～、60～、70～、80～年龄组现在吸烟率分别为27.27%、36.00%、44.00%、44.22%、30.99%、20.72%、18.18%。女性18～、30～、40～、50～、60～、70～、80～年龄组现在吸烟率分别为0.00%、0.00%、1.49%、0.53%、2.01%、0.00%、0.00%。用全</w:t>
      </w:r>
      <w:r>
        <w:rPr>
          <w:rFonts w:cs="Times New Roman" w:asciiTheme="minorEastAsia" w:hAnsiTheme="minorEastAsia" w:eastAsiaTheme="minorEastAsia"/>
          <w:sz w:val="24"/>
          <w:szCs w:val="24"/>
        </w:rPr>
        <w:t>国</w:t>
      </w:r>
      <w:r>
        <w:rPr>
          <w:rFonts w:hint="eastAsia" w:cs="Times New Roman" w:asciiTheme="minorEastAsia" w:hAnsiTheme="minorEastAsia" w:eastAsiaTheme="minorEastAsia"/>
          <w:sz w:val="24"/>
          <w:szCs w:val="24"/>
        </w:rPr>
        <w:t>2010年第六次人口普查数据性别年龄标化后，调查人群的标化现在吸烟率为</w:t>
      </w:r>
      <w:r>
        <w:rPr>
          <w:rFonts w:cs="Times New Roman" w:asciiTheme="minorEastAsia" w:hAnsiTheme="minorEastAsia" w:eastAsiaTheme="minorEastAsia"/>
          <w:sz w:val="24"/>
          <w:szCs w:val="24"/>
        </w:rPr>
        <w:t>14.37</w:t>
      </w:r>
      <w:r>
        <w:rPr>
          <w:rFonts w:hint="eastAsia" w:cs="Times New Roman" w:asciiTheme="minorEastAsia" w:hAnsiTheme="minorEastAsia" w:eastAsiaTheme="minorEastAsia"/>
          <w:sz w:val="24"/>
          <w:szCs w:val="24"/>
        </w:rPr>
        <w:t>%,男性标化现在吸烟率为</w:t>
      </w:r>
      <w:r>
        <w:rPr>
          <w:rFonts w:cs="Times New Roman" w:asciiTheme="minorEastAsia" w:hAnsiTheme="minorEastAsia" w:eastAsiaTheme="minorEastAsia"/>
          <w:sz w:val="24"/>
          <w:szCs w:val="24"/>
        </w:rPr>
        <w:t>27.86</w:t>
      </w:r>
      <w:r>
        <w:rPr>
          <w:rFonts w:hint="eastAsia" w:cs="Times New Roman" w:asciiTheme="minorEastAsia" w:hAnsiTheme="minorEastAsia" w:eastAsiaTheme="minorEastAsia"/>
          <w:sz w:val="24"/>
          <w:szCs w:val="24"/>
        </w:rPr>
        <w:t>%，女性标化现在吸烟率为0.60%。见图</w:t>
      </w:r>
      <w:r>
        <w:rPr>
          <w:rFonts w:cs="Times New Roman" w:asciiTheme="minorEastAsia" w:hAnsiTheme="minorEastAsia" w:eastAsiaTheme="minorEastAsia"/>
          <w:sz w:val="24"/>
          <w:szCs w:val="24"/>
        </w:rPr>
        <w:t>30</w:t>
      </w:r>
      <w:r>
        <w:rPr>
          <w:rFonts w:hint="eastAsia" w:cs="Times New Roman" w:asciiTheme="minorEastAsia" w:hAnsiTheme="minorEastAsia" w:eastAsiaTheme="minorEastAsia"/>
          <w:sz w:val="24"/>
          <w:szCs w:val="24"/>
        </w:rPr>
        <w:t>.</w:t>
      </w:r>
    </w:p>
    <w:p>
      <w:pPr>
        <w:spacing w:beforeLines="50" w:afterLines="50" w:line="360" w:lineRule="auto"/>
        <w:ind w:firstLine="440" w:firstLineChars="200"/>
        <w:rPr>
          <w:rFonts w:ascii="Calibri" w:hAnsi="Calibri" w:eastAsia="宋体" w:cs="Times New Roman"/>
        </w:rPr>
      </w:pPr>
      <w:r>
        <w:rPr>
          <w:rFonts w:ascii="Calibri" w:hAnsi="Calibri" w:eastAsia="宋体" w:cs="Times New Roman"/>
        </w:rPr>
        <w:drawing>
          <wp:inline distT="0" distB="0" distL="0" distR="0">
            <wp:extent cx="5274310" cy="2411095"/>
            <wp:effectExtent l="19050" t="0" r="21590" b="8062"/>
            <wp:docPr id="4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pPr>
        <w:spacing w:beforeLines="50" w:afterLines="50" w:line="360" w:lineRule="auto"/>
        <w:ind w:firstLine="440" w:firstLineChars="200"/>
        <w:jc w:val="center"/>
        <w:rPr>
          <w:rFonts w:ascii="宋体" w:hAnsi="宋体" w:eastAsia="宋体" w:cs="Times New Roman"/>
        </w:rPr>
      </w:pPr>
      <w:r>
        <w:rPr>
          <w:rFonts w:hint="eastAsia" w:ascii="宋体" w:hAnsi="宋体" w:eastAsia="宋体" w:cs="Times New Roman"/>
        </w:rPr>
        <w:t>图</w:t>
      </w:r>
      <w:r>
        <w:rPr>
          <w:rFonts w:ascii="宋体" w:hAnsi="宋体" w:eastAsia="宋体" w:cs="Times New Roman"/>
        </w:rPr>
        <w:t>30</w:t>
      </w:r>
      <w:r>
        <w:rPr>
          <w:rFonts w:hint="eastAsia" w:ascii="宋体" w:hAnsi="宋体" w:eastAsia="宋体" w:cs="Times New Roman"/>
        </w:rPr>
        <w:t xml:space="preserve">   调查对象分年龄组吸烟率（%）</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2、吸烟频次</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1288名调查对象中，经常吸烟的人占13.12%，偶尔吸烟的占1.86%，已戒烟占7.07%，77.95%不吸烟。其中男、女性人群中经常吸烟分别占29.55%、0.68%，偶尔吸的分别占3.96%、0.27%，已戒烟的占15.86%、0.41%，不吸烟的分别为50.63%、98.64%。见表</w:t>
      </w:r>
      <w:r>
        <w:rPr>
          <w:rFonts w:cs="Times New Roman" w:asciiTheme="minorEastAsia" w:hAnsiTheme="minorEastAsia" w:eastAsiaTheme="minorEastAsia"/>
          <w:sz w:val="24"/>
          <w:szCs w:val="24"/>
        </w:rPr>
        <w:t>16</w:t>
      </w:r>
      <w:r>
        <w:rPr>
          <w:rFonts w:hint="eastAsia" w:cs="Times New Roman" w:asciiTheme="minorEastAsia" w:hAnsiTheme="minorEastAsia" w:eastAsiaTheme="minorEastAsia"/>
          <w:sz w:val="24"/>
          <w:szCs w:val="24"/>
        </w:rPr>
        <w:t>.</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w:t>
      </w:r>
      <w:r>
        <w:rPr>
          <w:rFonts w:asciiTheme="minorEastAsia" w:hAnsiTheme="minorEastAsia" w:eastAsiaTheme="minorEastAsia"/>
          <w:color w:val="000000"/>
        </w:rPr>
        <w:t>16</w:t>
      </w:r>
      <w:r>
        <w:rPr>
          <w:rFonts w:hint="eastAsia" w:asciiTheme="minorEastAsia" w:hAnsiTheme="minorEastAsia" w:eastAsiaTheme="minorEastAsia"/>
          <w:color w:val="000000"/>
        </w:rPr>
        <w:t xml:space="preserve">   调查对象吸烟情况</w:t>
      </w:r>
    </w:p>
    <w:tbl>
      <w:tblPr>
        <w:tblStyle w:val="11"/>
        <w:tblW w:w="8519" w:type="dxa"/>
        <w:jc w:val="center"/>
        <w:tblLayout w:type="fixed"/>
        <w:tblCellMar>
          <w:top w:w="0" w:type="dxa"/>
          <w:left w:w="108" w:type="dxa"/>
          <w:bottom w:w="0" w:type="dxa"/>
          <w:right w:w="108" w:type="dxa"/>
        </w:tblCellMar>
      </w:tblPr>
      <w:tblGrid>
        <w:gridCol w:w="1846"/>
        <w:gridCol w:w="953"/>
        <w:gridCol w:w="957"/>
        <w:gridCol w:w="321"/>
        <w:gridCol w:w="1023"/>
        <w:gridCol w:w="1023"/>
        <w:gridCol w:w="321"/>
        <w:gridCol w:w="1033"/>
        <w:gridCol w:w="1042"/>
      </w:tblGrid>
      <w:tr>
        <w:tblPrEx>
          <w:tblCellMar>
            <w:top w:w="0" w:type="dxa"/>
            <w:left w:w="108" w:type="dxa"/>
            <w:bottom w:w="0" w:type="dxa"/>
            <w:right w:w="108" w:type="dxa"/>
          </w:tblCellMar>
        </w:tblPrEx>
        <w:trPr>
          <w:trHeight w:val="285" w:hRule="atLeast"/>
          <w:jc w:val="center"/>
        </w:trPr>
        <w:tc>
          <w:tcPr>
            <w:tcW w:w="1846" w:type="dxa"/>
            <w:vMerge w:val="restart"/>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吸烟情况</w:t>
            </w:r>
          </w:p>
        </w:tc>
        <w:tc>
          <w:tcPr>
            <w:tcW w:w="1910"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321"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2046"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321"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2075"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270" w:hRule="atLeast"/>
          <w:jc w:val="center"/>
        </w:trPr>
        <w:tc>
          <w:tcPr>
            <w:tcW w:w="1846" w:type="dxa"/>
            <w:vMerge w:val="continue"/>
            <w:tcBorders>
              <w:top w:val="single" w:color="008000" w:sz="12"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953"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95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32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023"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023"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32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033"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04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r>
      <w:tr>
        <w:tblPrEx>
          <w:tblCellMar>
            <w:top w:w="0" w:type="dxa"/>
            <w:left w:w="108" w:type="dxa"/>
            <w:bottom w:w="0" w:type="dxa"/>
            <w:right w:w="108" w:type="dxa"/>
          </w:tblCellMar>
        </w:tblPrEx>
        <w:trPr>
          <w:trHeight w:val="270" w:hRule="atLeast"/>
          <w:jc w:val="center"/>
        </w:trPr>
        <w:tc>
          <w:tcPr>
            <w:tcW w:w="1846"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经常吸</w:t>
            </w:r>
          </w:p>
        </w:tc>
        <w:tc>
          <w:tcPr>
            <w:tcW w:w="953"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164</w:t>
            </w:r>
          </w:p>
        </w:tc>
        <w:tc>
          <w:tcPr>
            <w:tcW w:w="957"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29.55%</w:t>
            </w:r>
          </w:p>
        </w:tc>
        <w:tc>
          <w:tcPr>
            <w:tcW w:w="321"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23"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w:t>
            </w:r>
          </w:p>
        </w:tc>
        <w:tc>
          <w:tcPr>
            <w:tcW w:w="1023"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0.68%</w:t>
            </w:r>
          </w:p>
        </w:tc>
        <w:tc>
          <w:tcPr>
            <w:tcW w:w="321"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33" w:type="dxa"/>
            <w:tcBorders>
              <w:top w:val="single" w:color="auto" w:sz="4" w:space="0"/>
              <w:left w:val="nil"/>
              <w:bottom w:val="nil"/>
              <w:right w:val="nil"/>
            </w:tcBorders>
            <w:noWrap/>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169</w:t>
            </w:r>
          </w:p>
        </w:tc>
        <w:tc>
          <w:tcPr>
            <w:tcW w:w="1042"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13.12%</w:t>
            </w:r>
          </w:p>
        </w:tc>
      </w:tr>
      <w:tr>
        <w:tblPrEx>
          <w:tblCellMar>
            <w:top w:w="0" w:type="dxa"/>
            <w:left w:w="108" w:type="dxa"/>
            <w:bottom w:w="0" w:type="dxa"/>
            <w:right w:w="108" w:type="dxa"/>
          </w:tblCellMar>
        </w:tblPrEx>
        <w:trPr>
          <w:trHeight w:val="270" w:hRule="atLeast"/>
          <w:jc w:val="center"/>
        </w:trPr>
        <w:tc>
          <w:tcPr>
            <w:tcW w:w="1846"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偶尔吸</w:t>
            </w:r>
          </w:p>
        </w:tc>
        <w:tc>
          <w:tcPr>
            <w:tcW w:w="9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22</w:t>
            </w:r>
          </w:p>
        </w:tc>
        <w:tc>
          <w:tcPr>
            <w:tcW w:w="957"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3.96%</w:t>
            </w:r>
          </w:p>
        </w:tc>
        <w:tc>
          <w:tcPr>
            <w:tcW w:w="321"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2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w:t>
            </w:r>
          </w:p>
        </w:tc>
        <w:tc>
          <w:tcPr>
            <w:tcW w:w="1023"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0.27%</w:t>
            </w:r>
          </w:p>
        </w:tc>
        <w:tc>
          <w:tcPr>
            <w:tcW w:w="321"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33" w:type="dxa"/>
            <w:tcBorders>
              <w:top w:val="nil"/>
              <w:left w:val="nil"/>
              <w:bottom w:val="nil"/>
              <w:right w:val="nil"/>
            </w:tcBorders>
            <w:noWrap/>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24</w:t>
            </w:r>
          </w:p>
        </w:tc>
        <w:tc>
          <w:tcPr>
            <w:tcW w:w="1042"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1.86%</w:t>
            </w:r>
          </w:p>
        </w:tc>
      </w:tr>
      <w:tr>
        <w:tblPrEx>
          <w:tblCellMar>
            <w:top w:w="0" w:type="dxa"/>
            <w:left w:w="108" w:type="dxa"/>
            <w:bottom w:w="0" w:type="dxa"/>
            <w:right w:w="108" w:type="dxa"/>
          </w:tblCellMar>
        </w:tblPrEx>
        <w:trPr>
          <w:trHeight w:val="270" w:hRule="atLeast"/>
          <w:jc w:val="center"/>
        </w:trPr>
        <w:tc>
          <w:tcPr>
            <w:tcW w:w="1846"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已戒烟</w:t>
            </w:r>
          </w:p>
        </w:tc>
        <w:tc>
          <w:tcPr>
            <w:tcW w:w="95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88</w:t>
            </w:r>
          </w:p>
        </w:tc>
        <w:tc>
          <w:tcPr>
            <w:tcW w:w="957"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15.86%</w:t>
            </w:r>
          </w:p>
        </w:tc>
        <w:tc>
          <w:tcPr>
            <w:tcW w:w="321"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23"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1023"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0.41%</w:t>
            </w:r>
          </w:p>
        </w:tc>
        <w:tc>
          <w:tcPr>
            <w:tcW w:w="321"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33" w:type="dxa"/>
            <w:tcBorders>
              <w:top w:val="nil"/>
              <w:left w:val="nil"/>
              <w:bottom w:val="nil"/>
              <w:right w:val="nil"/>
            </w:tcBorders>
            <w:noWrap/>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91</w:t>
            </w:r>
          </w:p>
        </w:tc>
        <w:tc>
          <w:tcPr>
            <w:tcW w:w="1042"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7.07%</w:t>
            </w:r>
          </w:p>
        </w:tc>
      </w:tr>
      <w:tr>
        <w:tblPrEx>
          <w:tblCellMar>
            <w:top w:w="0" w:type="dxa"/>
            <w:left w:w="108" w:type="dxa"/>
            <w:bottom w:w="0" w:type="dxa"/>
            <w:right w:w="108" w:type="dxa"/>
          </w:tblCellMar>
        </w:tblPrEx>
        <w:trPr>
          <w:trHeight w:val="90" w:hRule="atLeast"/>
          <w:jc w:val="center"/>
        </w:trPr>
        <w:tc>
          <w:tcPr>
            <w:tcW w:w="1846" w:type="dxa"/>
            <w:tcBorders>
              <w:top w:val="nil"/>
              <w:left w:val="nil"/>
              <w:bottom w:val="single" w:color="auto" w:sz="4"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不吸</w:t>
            </w:r>
          </w:p>
        </w:tc>
        <w:tc>
          <w:tcPr>
            <w:tcW w:w="953"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281</w:t>
            </w:r>
          </w:p>
        </w:tc>
        <w:tc>
          <w:tcPr>
            <w:tcW w:w="957"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50.63%</w:t>
            </w:r>
          </w:p>
        </w:tc>
        <w:tc>
          <w:tcPr>
            <w:tcW w:w="321"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p>
        </w:tc>
        <w:tc>
          <w:tcPr>
            <w:tcW w:w="1023"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723</w:t>
            </w:r>
          </w:p>
        </w:tc>
        <w:tc>
          <w:tcPr>
            <w:tcW w:w="1023"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98.64%</w:t>
            </w:r>
          </w:p>
        </w:tc>
        <w:tc>
          <w:tcPr>
            <w:tcW w:w="321"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p>
        </w:tc>
        <w:tc>
          <w:tcPr>
            <w:tcW w:w="1033" w:type="dxa"/>
            <w:tcBorders>
              <w:top w:val="nil"/>
              <w:left w:val="nil"/>
              <w:bottom w:val="single" w:color="auto" w:sz="4" w:space="0"/>
              <w:right w:val="nil"/>
            </w:tcBorders>
            <w:noWrap/>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1004</w:t>
            </w:r>
          </w:p>
        </w:tc>
        <w:tc>
          <w:tcPr>
            <w:tcW w:w="1042"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77.95%</w:t>
            </w:r>
          </w:p>
        </w:tc>
      </w:tr>
      <w:tr>
        <w:tblPrEx>
          <w:tblCellMar>
            <w:top w:w="0" w:type="dxa"/>
            <w:left w:w="108" w:type="dxa"/>
            <w:bottom w:w="0" w:type="dxa"/>
            <w:right w:w="108" w:type="dxa"/>
          </w:tblCellMar>
        </w:tblPrEx>
        <w:trPr>
          <w:trHeight w:val="285" w:hRule="atLeast"/>
          <w:jc w:val="center"/>
        </w:trPr>
        <w:tc>
          <w:tcPr>
            <w:tcW w:w="1846" w:type="dxa"/>
            <w:tcBorders>
              <w:top w:val="nil"/>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953"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555</w:t>
            </w:r>
          </w:p>
        </w:tc>
        <w:tc>
          <w:tcPr>
            <w:tcW w:w="957"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100.00%</w:t>
            </w:r>
          </w:p>
        </w:tc>
        <w:tc>
          <w:tcPr>
            <w:tcW w:w="321"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w:t>
            </w:r>
          </w:p>
        </w:tc>
        <w:tc>
          <w:tcPr>
            <w:tcW w:w="1023"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733</w:t>
            </w:r>
          </w:p>
        </w:tc>
        <w:tc>
          <w:tcPr>
            <w:tcW w:w="1023"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100.00%</w:t>
            </w:r>
          </w:p>
        </w:tc>
        <w:tc>
          <w:tcPr>
            <w:tcW w:w="321"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w:t>
            </w:r>
          </w:p>
        </w:tc>
        <w:tc>
          <w:tcPr>
            <w:tcW w:w="1033" w:type="dxa"/>
            <w:tcBorders>
              <w:top w:val="nil"/>
              <w:left w:val="nil"/>
              <w:bottom w:val="single" w:color="auto" w:sz="8" w:space="0"/>
              <w:right w:val="nil"/>
            </w:tcBorders>
            <w:noWrap/>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1288</w:t>
            </w:r>
          </w:p>
        </w:tc>
        <w:tc>
          <w:tcPr>
            <w:tcW w:w="1042"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100.00%</w:t>
            </w:r>
          </w:p>
        </w:tc>
      </w:tr>
    </w:tbl>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3、</w:t>
      </w:r>
      <w:r>
        <w:rPr>
          <w:rFonts w:hint="eastAsia" w:cs="Times New Roman" w:asciiTheme="minorEastAsia" w:hAnsiTheme="minorEastAsia" w:eastAsiaTheme="minorEastAsia"/>
          <w:sz w:val="24"/>
          <w:szCs w:val="24"/>
        </w:rPr>
        <w:t>二手烟暴露</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1288名调查对象中，32.92%的人表示日常工作和生活环境中经常有人抽烟，其中555名男性调查对象中，46.13%表示日常工作和生活环境中经常有人抽烟，733名女性调查对象中，22.92%表示日常工作和生活环境中经常有人抽烟。</w:t>
      </w:r>
    </w:p>
    <w:p>
      <w:pPr>
        <w:spacing w:after="0" w:line="360" w:lineRule="auto"/>
        <w:ind w:firstLine="241" w:firstLineChars="100"/>
        <w:rPr>
          <w:rFonts w:asciiTheme="minorEastAsia" w:hAnsiTheme="minorEastAsia" w:eastAsiaTheme="minorEastAsia"/>
          <w:b/>
          <w:sz w:val="24"/>
          <w:szCs w:val="24"/>
        </w:rPr>
      </w:pPr>
      <w:r>
        <w:rPr>
          <w:rFonts w:asciiTheme="minorEastAsia" w:hAnsiTheme="minorEastAsia" w:eastAsiaTheme="minorEastAsia"/>
          <w:b/>
          <w:sz w:val="24"/>
          <w:szCs w:val="24"/>
        </w:rPr>
        <w:t>（二）饮酒</w:t>
      </w:r>
    </w:p>
    <w:p>
      <w:pPr>
        <w:spacing w:after="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1、饮酒率</w:t>
      </w:r>
    </w:p>
    <w:p>
      <w:pPr>
        <w:spacing w:beforeLines="50" w:line="360" w:lineRule="auto"/>
        <w:ind w:firstLine="470" w:firstLineChars="196"/>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调查对象的现在饮酒率为32.07%（413/1288），男性现在饮酒率为54.23%（301/555），女性现在饮酒率为15.28%（112/733）。男性现在饮酒率高于女性现在饮酒率。18～、30～、40～、50～、60～、70～、80～年龄组现在饮酒率分别为30.43%、26.56%、34.45%、38.62%、35.48%、24.41%、9.88%。男性18～、30～、40～、50～、60～、70～、80～年龄组现在饮酒率分别为50.00%、52.00%、65.33%、63.95%、58.45%、38.74%、24.24%。女性18～、30～、40～、50～、60～、70～、80～年龄组现在饮酒率分别为12.50%、10.26%、17.16%、18.72%、19.10%、8.82%、0.00%。用全</w:t>
      </w:r>
      <w:r>
        <w:rPr>
          <w:rFonts w:cs="Times New Roman" w:asciiTheme="minorEastAsia" w:hAnsiTheme="minorEastAsia" w:eastAsiaTheme="minorEastAsia"/>
          <w:sz w:val="24"/>
          <w:szCs w:val="24"/>
        </w:rPr>
        <w:t>国</w:t>
      </w:r>
      <w:r>
        <w:rPr>
          <w:rFonts w:hint="eastAsia" w:cs="Times New Roman" w:asciiTheme="minorEastAsia" w:hAnsiTheme="minorEastAsia" w:eastAsiaTheme="minorEastAsia"/>
          <w:sz w:val="24"/>
          <w:szCs w:val="24"/>
        </w:rPr>
        <w:t>2010年第六次人口普查数据性别年龄标化后，调查人群的标化现在饮酒率为</w:t>
      </w:r>
      <w:r>
        <w:rPr>
          <w:rFonts w:cs="Times New Roman" w:asciiTheme="minorEastAsia" w:hAnsiTheme="minorEastAsia" w:eastAsiaTheme="minorEastAsia"/>
          <w:sz w:val="24"/>
          <w:szCs w:val="24"/>
        </w:rPr>
        <w:t>29.77</w:t>
      </w:r>
      <w:r>
        <w:rPr>
          <w:rFonts w:hint="eastAsia" w:cs="Times New Roman" w:asciiTheme="minorEastAsia" w:hAnsiTheme="minorEastAsia" w:eastAsiaTheme="minorEastAsia"/>
          <w:sz w:val="24"/>
          <w:szCs w:val="24"/>
        </w:rPr>
        <w:t>%,男性标化现在饮酒率为</w:t>
      </w:r>
      <w:r>
        <w:rPr>
          <w:rFonts w:cs="Times New Roman" w:asciiTheme="minorEastAsia" w:hAnsiTheme="minorEastAsia" w:eastAsiaTheme="minorEastAsia"/>
          <w:sz w:val="24"/>
          <w:szCs w:val="24"/>
        </w:rPr>
        <w:t>45.08</w:t>
      </w:r>
      <w:r>
        <w:rPr>
          <w:rFonts w:hint="eastAsia" w:cs="Times New Roman" w:asciiTheme="minorEastAsia" w:hAnsiTheme="minorEastAsia" w:eastAsiaTheme="minorEastAsia"/>
          <w:sz w:val="24"/>
          <w:szCs w:val="24"/>
        </w:rPr>
        <w:t>%，女性标化现在饮酒率为14.12%。见图</w:t>
      </w:r>
      <w:r>
        <w:rPr>
          <w:rFonts w:cs="Times New Roman" w:asciiTheme="minorEastAsia" w:hAnsiTheme="minorEastAsia" w:eastAsiaTheme="minorEastAsia"/>
          <w:sz w:val="24"/>
          <w:szCs w:val="24"/>
        </w:rPr>
        <w:t>31</w:t>
      </w:r>
      <w:r>
        <w:rPr>
          <w:rFonts w:hint="eastAsia" w:cs="Times New Roman" w:asciiTheme="minorEastAsia" w:hAnsiTheme="minorEastAsia" w:eastAsiaTheme="minorEastAsia"/>
          <w:sz w:val="24"/>
          <w:szCs w:val="24"/>
        </w:rPr>
        <w:t>.</w:t>
      </w:r>
    </w:p>
    <w:p>
      <w:pPr>
        <w:spacing w:beforeLines="50" w:line="360" w:lineRule="auto"/>
        <w:ind w:firstLine="560" w:firstLineChars="200"/>
        <w:rPr>
          <w:sz w:val="28"/>
          <w:szCs w:val="36"/>
        </w:rPr>
      </w:pPr>
      <w:r>
        <w:rPr>
          <w:sz w:val="28"/>
          <w:szCs w:val="36"/>
        </w:rPr>
        <w:drawing>
          <wp:inline distT="0" distB="0" distL="0" distR="0">
            <wp:extent cx="5369560" cy="2371725"/>
            <wp:effectExtent l="19050" t="0" r="21590" b="0"/>
            <wp:docPr id="4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spacing w:beforeLines="50" w:line="360" w:lineRule="auto"/>
        <w:ind w:firstLine="480" w:firstLineChars="200"/>
        <w:jc w:val="center"/>
        <w:rPr>
          <w:rFonts w:ascii="宋体" w:hAnsi="宋体" w:eastAsia="宋体"/>
          <w:sz w:val="24"/>
          <w:szCs w:val="24"/>
        </w:rPr>
      </w:pPr>
      <w:r>
        <w:rPr>
          <w:rFonts w:hint="eastAsia" w:ascii="宋体" w:hAnsi="宋体" w:eastAsia="宋体"/>
          <w:sz w:val="24"/>
          <w:szCs w:val="24"/>
        </w:rPr>
        <w:t>图</w:t>
      </w:r>
      <w:r>
        <w:rPr>
          <w:rFonts w:ascii="宋体" w:hAnsi="宋体" w:eastAsia="宋体"/>
          <w:sz w:val="24"/>
          <w:szCs w:val="24"/>
        </w:rPr>
        <w:t>31</w:t>
      </w:r>
      <w:r>
        <w:rPr>
          <w:rFonts w:hint="eastAsia" w:ascii="宋体" w:hAnsi="宋体" w:eastAsia="宋体"/>
          <w:sz w:val="24"/>
          <w:szCs w:val="24"/>
        </w:rPr>
        <w:t xml:space="preserve">   调查对象分年龄组饮酒率（%）</w:t>
      </w:r>
    </w:p>
    <w:p>
      <w:pPr>
        <w:spacing w:beforeLines="50" w:afterLines="50" w:line="360" w:lineRule="auto"/>
        <w:ind w:firstLine="360" w:firstLineChars="1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2、饮酒频次</w:t>
      </w:r>
    </w:p>
    <w:p>
      <w:pPr>
        <w:spacing w:beforeLines="50" w:line="360" w:lineRule="auto"/>
        <w:ind w:firstLine="470" w:firstLineChars="196"/>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1288名调查对象中，经常饮酒的人占14.67%，偶尔饮酒的占17.39%，已戒酒占2.41%，65.53%不饮酒。其中男、女性中经常饮酒分别占28.65%、4.09%，偶尔饮的分别占25.59%、11.19%，已戒酒的占4.14%、1.09%，不饮酒的分别为41.62%、83.63%。见表17.</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表17   调查对象饮酒情况</w:t>
      </w:r>
    </w:p>
    <w:tbl>
      <w:tblPr>
        <w:tblStyle w:val="11"/>
        <w:tblW w:w="8519" w:type="dxa"/>
        <w:jc w:val="center"/>
        <w:tblLayout w:type="fixed"/>
        <w:tblCellMar>
          <w:top w:w="0" w:type="dxa"/>
          <w:left w:w="108" w:type="dxa"/>
          <w:bottom w:w="0" w:type="dxa"/>
          <w:right w:w="108" w:type="dxa"/>
        </w:tblCellMar>
      </w:tblPr>
      <w:tblGrid>
        <w:gridCol w:w="1856"/>
        <w:gridCol w:w="969"/>
        <w:gridCol w:w="968"/>
        <w:gridCol w:w="236"/>
        <w:gridCol w:w="1034"/>
        <w:gridCol w:w="1037"/>
        <w:gridCol w:w="321"/>
        <w:gridCol w:w="1044"/>
        <w:gridCol w:w="1054"/>
      </w:tblGrid>
      <w:tr>
        <w:tblPrEx>
          <w:tblCellMar>
            <w:top w:w="0" w:type="dxa"/>
            <w:left w:w="108" w:type="dxa"/>
            <w:bottom w:w="0" w:type="dxa"/>
            <w:right w:w="108" w:type="dxa"/>
          </w:tblCellMar>
        </w:tblPrEx>
        <w:trPr>
          <w:trHeight w:val="285" w:hRule="atLeast"/>
          <w:jc w:val="center"/>
        </w:trPr>
        <w:tc>
          <w:tcPr>
            <w:tcW w:w="1859" w:type="dxa"/>
            <w:vMerge w:val="restart"/>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饮酒情况</w:t>
            </w:r>
          </w:p>
        </w:tc>
        <w:tc>
          <w:tcPr>
            <w:tcW w:w="1940"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22"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2075"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321"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2102"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270" w:hRule="atLeast"/>
          <w:jc w:val="center"/>
        </w:trPr>
        <w:tc>
          <w:tcPr>
            <w:tcW w:w="1859" w:type="dxa"/>
            <w:vMerge w:val="continue"/>
            <w:tcBorders>
              <w:top w:val="single" w:color="008000" w:sz="12"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970"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970"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2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036"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039"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32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046"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056"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r>
      <w:tr>
        <w:tblPrEx>
          <w:tblCellMar>
            <w:top w:w="0" w:type="dxa"/>
            <w:left w:w="108" w:type="dxa"/>
            <w:bottom w:w="0" w:type="dxa"/>
            <w:right w:w="108" w:type="dxa"/>
          </w:tblCellMar>
        </w:tblPrEx>
        <w:trPr>
          <w:trHeight w:val="270" w:hRule="atLeast"/>
          <w:jc w:val="center"/>
        </w:trPr>
        <w:tc>
          <w:tcPr>
            <w:tcW w:w="1859"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经常饮</w:t>
            </w:r>
          </w:p>
        </w:tc>
        <w:tc>
          <w:tcPr>
            <w:tcW w:w="970"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159</w:t>
            </w:r>
          </w:p>
        </w:tc>
        <w:tc>
          <w:tcPr>
            <w:tcW w:w="970"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28.65%</w:t>
            </w:r>
          </w:p>
        </w:tc>
        <w:tc>
          <w:tcPr>
            <w:tcW w:w="222"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36"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30</w:t>
            </w:r>
          </w:p>
        </w:tc>
        <w:tc>
          <w:tcPr>
            <w:tcW w:w="1039"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4.09%</w:t>
            </w:r>
          </w:p>
        </w:tc>
        <w:tc>
          <w:tcPr>
            <w:tcW w:w="321"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46" w:type="dxa"/>
            <w:tcBorders>
              <w:top w:val="single" w:color="auto" w:sz="4" w:space="0"/>
              <w:left w:val="nil"/>
              <w:bottom w:val="nil"/>
              <w:right w:val="nil"/>
            </w:tcBorders>
            <w:noWrap/>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189</w:t>
            </w:r>
          </w:p>
        </w:tc>
        <w:tc>
          <w:tcPr>
            <w:tcW w:w="1056"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14.67%</w:t>
            </w:r>
          </w:p>
        </w:tc>
      </w:tr>
      <w:tr>
        <w:tblPrEx>
          <w:tblCellMar>
            <w:top w:w="0" w:type="dxa"/>
            <w:left w:w="108" w:type="dxa"/>
            <w:bottom w:w="0" w:type="dxa"/>
            <w:right w:w="108" w:type="dxa"/>
          </w:tblCellMar>
        </w:tblPrEx>
        <w:trPr>
          <w:trHeight w:val="270" w:hRule="atLeast"/>
          <w:jc w:val="center"/>
        </w:trPr>
        <w:tc>
          <w:tcPr>
            <w:tcW w:w="185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偶尔饮</w:t>
            </w:r>
          </w:p>
        </w:tc>
        <w:tc>
          <w:tcPr>
            <w:tcW w:w="970"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142</w:t>
            </w:r>
          </w:p>
        </w:tc>
        <w:tc>
          <w:tcPr>
            <w:tcW w:w="970"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25.59%</w:t>
            </w:r>
          </w:p>
        </w:tc>
        <w:tc>
          <w:tcPr>
            <w:tcW w:w="222"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3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82</w:t>
            </w:r>
          </w:p>
        </w:tc>
        <w:tc>
          <w:tcPr>
            <w:tcW w:w="1039"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11.19%</w:t>
            </w:r>
          </w:p>
        </w:tc>
        <w:tc>
          <w:tcPr>
            <w:tcW w:w="321"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46" w:type="dxa"/>
            <w:tcBorders>
              <w:top w:val="nil"/>
              <w:left w:val="nil"/>
              <w:bottom w:val="nil"/>
              <w:right w:val="nil"/>
            </w:tcBorders>
            <w:noWrap/>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224</w:t>
            </w:r>
          </w:p>
        </w:tc>
        <w:tc>
          <w:tcPr>
            <w:tcW w:w="1056"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17.39%</w:t>
            </w:r>
          </w:p>
        </w:tc>
      </w:tr>
      <w:tr>
        <w:tblPrEx>
          <w:tblCellMar>
            <w:top w:w="0" w:type="dxa"/>
            <w:left w:w="108" w:type="dxa"/>
            <w:bottom w:w="0" w:type="dxa"/>
            <w:right w:w="108" w:type="dxa"/>
          </w:tblCellMar>
        </w:tblPrEx>
        <w:trPr>
          <w:trHeight w:val="270" w:hRule="atLeast"/>
          <w:jc w:val="center"/>
        </w:trPr>
        <w:tc>
          <w:tcPr>
            <w:tcW w:w="1859"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已戒酒</w:t>
            </w:r>
          </w:p>
        </w:tc>
        <w:tc>
          <w:tcPr>
            <w:tcW w:w="970"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23</w:t>
            </w:r>
          </w:p>
        </w:tc>
        <w:tc>
          <w:tcPr>
            <w:tcW w:w="970"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4.14%</w:t>
            </w:r>
          </w:p>
        </w:tc>
        <w:tc>
          <w:tcPr>
            <w:tcW w:w="222"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3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w:t>
            </w:r>
          </w:p>
        </w:tc>
        <w:tc>
          <w:tcPr>
            <w:tcW w:w="1039"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1.09%</w:t>
            </w:r>
          </w:p>
        </w:tc>
        <w:tc>
          <w:tcPr>
            <w:tcW w:w="321"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46" w:type="dxa"/>
            <w:tcBorders>
              <w:top w:val="nil"/>
              <w:left w:val="nil"/>
              <w:bottom w:val="nil"/>
              <w:right w:val="nil"/>
            </w:tcBorders>
            <w:noWrap/>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31</w:t>
            </w:r>
          </w:p>
        </w:tc>
        <w:tc>
          <w:tcPr>
            <w:tcW w:w="1056"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2.41%</w:t>
            </w:r>
          </w:p>
        </w:tc>
      </w:tr>
      <w:tr>
        <w:tblPrEx>
          <w:tblCellMar>
            <w:top w:w="0" w:type="dxa"/>
            <w:left w:w="108" w:type="dxa"/>
            <w:bottom w:w="0" w:type="dxa"/>
            <w:right w:w="108" w:type="dxa"/>
          </w:tblCellMar>
        </w:tblPrEx>
        <w:trPr>
          <w:trHeight w:val="90" w:hRule="atLeast"/>
          <w:jc w:val="center"/>
        </w:trPr>
        <w:tc>
          <w:tcPr>
            <w:tcW w:w="1859" w:type="dxa"/>
            <w:tcBorders>
              <w:top w:val="nil"/>
              <w:left w:val="nil"/>
              <w:bottom w:val="single" w:color="auto" w:sz="4"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不饮</w:t>
            </w:r>
          </w:p>
        </w:tc>
        <w:tc>
          <w:tcPr>
            <w:tcW w:w="970"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231</w:t>
            </w:r>
          </w:p>
        </w:tc>
        <w:tc>
          <w:tcPr>
            <w:tcW w:w="970"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41.62%</w:t>
            </w:r>
          </w:p>
        </w:tc>
        <w:tc>
          <w:tcPr>
            <w:tcW w:w="222"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p>
        </w:tc>
        <w:tc>
          <w:tcPr>
            <w:tcW w:w="1036"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613</w:t>
            </w:r>
          </w:p>
        </w:tc>
        <w:tc>
          <w:tcPr>
            <w:tcW w:w="1039"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83.63%</w:t>
            </w:r>
          </w:p>
        </w:tc>
        <w:tc>
          <w:tcPr>
            <w:tcW w:w="321"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p>
        </w:tc>
        <w:tc>
          <w:tcPr>
            <w:tcW w:w="1046" w:type="dxa"/>
            <w:tcBorders>
              <w:top w:val="nil"/>
              <w:left w:val="nil"/>
              <w:bottom w:val="single" w:color="auto" w:sz="4" w:space="0"/>
              <w:right w:val="nil"/>
            </w:tcBorders>
            <w:noWrap/>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844</w:t>
            </w:r>
          </w:p>
        </w:tc>
        <w:tc>
          <w:tcPr>
            <w:tcW w:w="1056"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65.53%</w:t>
            </w:r>
          </w:p>
        </w:tc>
      </w:tr>
      <w:tr>
        <w:tblPrEx>
          <w:tblCellMar>
            <w:top w:w="0" w:type="dxa"/>
            <w:left w:w="108" w:type="dxa"/>
            <w:bottom w:w="0" w:type="dxa"/>
            <w:right w:w="108" w:type="dxa"/>
          </w:tblCellMar>
        </w:tblPrEx>
        <w:trPr>
          <w:trHeight w:val="285" w:hRule="atLeast"/>
          <w:jc w:val="center"/>
        </w:trPr>
        <w:tc>
          <w:tcPr>
            <w:tcW w:w="1859" w:type="dxa"/>
            <w:tcBorders>
              <w:top w:val="nil"/>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970"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555</w:t>
            </w:r>
          </w:p>
        </w:tc>
        <w:tc>
          <w:tcPr>
            <w:tcW w:w="970"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100.00%</w:t>
            </w:r>
          </w:p>
        </w:tc>
        <w:tc>
          <w:tcPr>
            <w:tcW w:w="222"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p>
        </w:tc>
        <w:tc>
          <w:tcPr>
            <w:tcW w:w="1036"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733</w:t>
            </w:r>
          </w:p>
        </w:tc>
        <w:tc>
          <w:tcPr>
            <w:tcW w:w="1039"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100.00%</w:t>
            </w:r>
          </w:p>
        </w:tc>
        <w:tc>
          <w:tcPr>
            <w:tcW w:w="321"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0</w:t>
            </w:r>
          </w:p>
        </w:tc>
        <w:tc>
          <w:tcPr>
            <w:tcW w:w="1046" w:type="dxa"/>
            <w:tcBorders>
              <w:top w:val="nil"/>
              <w:left w:val="nil"/>
              <w:bottom w:val="single" w:color="auto" w:sz="8" w:space="0"/>
              <w:right w:val="nil"/>
            </w:tcBorders>
            <w:noWrap/>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1288</w:t>
            </w:r>
          </w:p>
        </w:tc>
        <w:tc>
          <w:tcPr>
            <w:tcW w:w="1056"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100.00%</w:t>
            </w:r>
          </w:p>
        </w:tc>
      </w:tr>
    </w:tbl>
    <w:p>
      <w:pPr>
        <w:spacing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3、</w:t>
      </w:r>
      <w:r>
        <w:rPr>
          <w:rFonts w:asciiTheme="minorEastAsia" w:hAnsiTheme="minorEastAsia" w:eastAsiaTheme="minorEastAsia"/>
          <w:b/>
          <w:sz w:val="24"/>
          <w:szCs w:val="24"/>
        </w:rPr>
        <w:t>周饮酒量</w:t>
      </w:r>
    </w:p>
    <w:p>
      <w:pPr>
        <w:spacing w:beforeLines="50" w:afterLines="50" w:line="360" w:lineRule="auto"/>
        <w:ind w:firstLine="360" w:firstLineChars="1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有409名饮酒者回答了近半年平均每周酒精摄入量，其近半年平均每周酒精摄入量为16.07±17.59个标准饮酒单位，其中299名男性饮酒者平均每周酒精摄入量为18.31±17.79个标准饮酒单位，女性饮酒者平均每周酒精摄入量为9.96±15.49个标准饮酒单位。</w:t>
      </w:r>
    </w:p>
    <w:p>
      <w:pPr>
        <w:spacing w:after="0" w:line="360" w:lineRule="auto"/>
        <w:ind w:left="482" w:hanging="482" w:hangingChars="200"/>
        <w:rPr>
          <w:rFonts w:asciiTheme="minorEastAsia" w:hAnsiTheme="minorEastAsia" w:eastAsiaTheme="minorEastAsia"/>
          <w:b/>
          <w:sz w:val="24"/>
          <w:szCs w:val="24"/>
        </w:rPr>
      </w:pPr>
      <w:r>
        <w:rPr>
          <w:rFonts w:hint="eastAsia" w:asciiTheme="minorEastAsia" w:hAnsiTheme="minorEastAsia" w:eastAsiaTheme="minorEastAsia"/>
          <w:b/>
          <w:sz w:val="24"/>
          <w:szCs w:val="24"/>
        </w:rPr>
        <w:t>4、有害</w:t>
      </w:r>
      <w:r>
        <w:rPr>
          <w:rFonts w:asciiTheme="minorEastAsia" w:hAnsiTheme="minorEastAsia" w:eastAsiaTheme="minorEastAsia"/>
          <w:b/>
          <w:sz w:val="24"/>
          <w:szCs w:val="24"/>
        </w:rPr>
        <w:t>饮酒率</w:t>
      </w:r>
    </w:p>
    <w:p>
      <w:pPr>
        <w:spacing w:beforeLines="50" w:afterLines="50" w:line="360" w:lineRule="auto"/>
        <w:ind w:firstLine="360" w:firstLineChars="15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调查对象的有害饮酒率为8.46%（109/1288），男、女性有害饮酒率分别为17.66%（98/555），1.50%（11/733）,男性有害饮酒率高于女性有害饮酒率。18～、30～、40～、50～、60～、70～、80～年龄组有害饮酒率分别为2.17%、1.56%、7.18%、11.98%、9.97%、7.98%、1.23%。男性18～、30～、40～、50～、60～、70～、80～年龄组有害饮酒率分别为4.55%、4.00%、20.00%、23.81%、20.42%、14.41%、3.03%。女性18～、30～、40～、50～、60～、70～、80～年龄组有害饮酒率分别为0.00%、0.00%、0.00%、2.67%、2.51%、0.98%、0.00%。用全省2010年第六次人口普查数据性别年龄标化后，调查人群的标化有害饮酒率为</w:t>
      </w:r>
      <w:r>
        <w:rPr>
          <w:rFonts w:cs="Times New Roman" w:asciiTheme="minorEastAsia" w:hAnsiTheme="minorEastAsia" w:eastAsiaTheme="minorEastAsia"/>
          <w:sz w:val="24"/>
          <w:szCs w:val="24"/>
        </w:rPr>
        <w:t>6.40</w:t>
      </w:r>
      <w:r>
        <w:rPr>
          <w:rFonts w:hint="eastAsia" w:cs="Times New Roman" w:asciiTheme="minorEastAsia" w:hAnsiTheme="minorEastAsia" w:eastAsiaTheme="minorEastAsia"/>
          <w:sz w:val="24"/>
          <w:szCs w:val="24"/>
        </w:rPr>
        <w:t>%，标化有害饮酒率为</w:t>
      </w:r>
      <w:r>
        <w:rPr>
          <w:rFonts w:cs="Times New Roman" w:asciiTheme="minorEastAsia" w:hAnsiTheme="minorEastAsia" w:eastAsiaTheme="minorEastAsia"/>
          <w:sz w:val="24"/>
          <w:szCs w:val="24"/>
        </w:rPr>
        <w:t>11.98</w:t>
      </w:r>
      <w:r>
        <w:rPr>
          <w:rFonts w:hint="eastAsia" w:cs="Times New Roman" w:asciiTheme="minorEastAsia" w:hAnsiTheme="minorEastAsia" w:eastAsiaTheme="minorEastAsia"/>
          <w:sz w:val="24"/>
          <w:szCs w:val="24"/>
        </w:rPr>
        <w:t>%，化有害饮酒率为0.70%。</w:t>
      </w:r>
    </w:p>
    <w:p>
      <w:pPr>
        <w:spacing w:beforeLines="50" w:afterLines="50" w:line="360" w:lineRule="auto"/>
        <w:ind w:firstLine="482" w:firstLineChars="150"/>
        <w:rPr>
          <w:rFonts w:cs="Times New Roman" w:asciiTheme="minorEastAsia" w:hAnsiTheme="minorEastAsia" w:eastAsiaTheme="minorEastAsia"/>
          <w:sz w:val="24"/>
          <w:szCs w:val="24"/>
        </w:rPr>
      </w:pPr>
      <w:r>
        <w:rPr>
          <w:rFonts w:asciiTheme="minorEastAsia" w:hAnsiTheme="minorEastAsia" w:eastAsiaTheme="minorEastAsia"/>
          <w:b/>
          <w:sz w:val="32"/>
          <w:szCs w:val="32"/>
        </w:rPr>
        <w:t>（三）体育锻炼</w:t>
      </w:r>
    </w:p>
    <w:p>
      <w:pPr>
        <w:spacing w:after="0" w:line="360" w:lineRule="auto"/>
        <w:ind w:firstLine="562" w:firstLineChars="200"/>
        <w:rPr>
          <w:rFonts w:ascii="宋体" w:hAnsi="宋体" w:eastAsia="宋体"/>
          <w:b/>
          <w:sz w:val="28"/>
          <w:szCs w:val="28"/>
        </w:rPr>
      </w:pPr>
      <w:r>
        <w:rPr>
          <w:rFonts w:hint="eastAsia" w:ascii="宋体" w:hAnsi="宋体" w:eastAsia="宋体"/>
          <w:b/>
          <w:sz w:val="28"/>
          <w:szCs w:val="28"/>
        </w:rPr>
        <w:t>1、体育锻炼</w:t>
      </w:r>
    </w:p>
    <w:p>
      <w:pPr>
        <w:spacing w:beforeLines="50" w:afterLines="5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过去30天内，除工作外，39.91%（514/1288）的调查对象有参加体育锻炼。男、女性参加体育锻炼的比例分别为43.96%（244/555）、36.83%（270/733）。</w:t>
      </w:r>
    </w:p>
    <w:p>
      <w:pPr>
        <w:spacing w:after="0" w:line="360" w:lineRule="auto"/>
        <w:ind w:firstLine="562" w:firstLineChars="200"/>
        <w:rPr>
          <w:rFonts w:ascii="宋体" w:hAnsi="宋体" w:eastAsia="宋体"/>
          <w:b/>
          <w:sz w:val="28"/>
          <w:szCs w:val="28"/>
        </w:rPr>
      </w:pPr>
      <w:r>
        <w:rPr>
          <w:rFonts w:hint="eastAsia" w:ascii="宋体" w:hAnsi="宋体" w:eastAsia="宋体"/>
          <w:b/>
          <w:sz w:val="28"/>
          <w:szCs w:val="28"/>
        </w:rPr>
        <w:t>2、</w:t>
      </w:r>
      <w:r>
        <w:rPr>
          <w:rFonts w:ascii="宋体" w:hAnsi="宋体" w:eastAsia="宋体"/>
          <w:b/>
          <w:sz w:val="28"/>
          <w:szCs w:val="28"/>
        </w:rPr>
        <w:t>日均步行当量</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34.70%（447/1288）的调查对象最近一周日步量超过6000步，其中36.94%（205/555）的男性日步量超过6000步，33.02%（242/733）的女性日步量超过6000步。18～、30～、40～、50～、60～、70～、80～组日步量在6000步以上的比例分别为15.22%、34.38%、24.88%、30.84%、39.30%、44.60%、41.98%，男性18～、30～、40～、50～、60～、70～、80～组日步量在6000步以上的比例分别为31.82%、36.00%、21.33%、29.25%、40.14%、52.25%、45.45%，女性18～、30～、40～、50～、60～、70～、80～组日步量在6000步以上的比例分别为0.00%、33.33%、26.87%、32.09%、38.69%、36.27%、39.58%。</w:t>
      </w:r>
    </w:p>
    <w:p>
      <w:pPr>
        <w:spacing w:line="360" w:lineRule="auto"/>
        <w:rPr>
          <w:rFonts w:asciiTheme="minorEastAsia" w:hAnsiTheme="minorEastAsia" w:eastAsiaTheme="minorEastAsia"/>
          <w:sz w:val="32"/>
          <w:szCs w:val="32"/>
        </w:rPr>
      </w:pPr>
      <w:r>
        <w:rPr>
          <w:rFonts w:asciiTheme="minorEastAsia" w:hAnsiTheme="minorEastAsia" w:eastAsiaTheme="minorEastAsia"/>
          <w:b/>
          <w:sz w:val="32"/>
          <w:szCs w:val="32"/>
        </w:rPr>
        <w:t>（四）饮食</w:t>
      </w:r>
    </w:p>
    <w:p>
      <w:pPr>
        <w:pStyle w:val="17"/>
        <w:tabs>
          <w:tab w:val="left" w:pos="709"/>
        </w:tabs>
        <w:snapToGrid w:val="0"/>
        <w:spacing w:line="360" w:lineRule="auto"/>
        <w:ind w:firstLine="562"/>
        <w:jc w:val="left"/>
        <w:rPr>
          <w:rFonts w:asciiTheme="minorEastAsia" w:hAnsiTheme="minorEastAsia"/>
          <w:b/>
          <w:sz w:val="28"/>
          <w:szCs w:val="28"/>
        </w:rPr>
      </w:pPr>
      <w:r>
        <w:rPr>
          <w:rFonts w:hint="eastAsia" w:asciiTheme="minorEastAsia" w:hAnsiTheme="minorEastAsia"/>
          <w:b/>
          <w:sz w:val="28"/>
          <w:szCs w:val="28"/>
        </w:rPr>
        <w:t>1、</w:t>
      </w:r>
      <w:r>
        <w:rPr>
          <w:rFonts w:asciiTheme="minorEastAsia" w:hAnsiTheme="minorEastAsia"/>
          <w:b/>
          <w:sz w:val="28"/>
          <w:szCs w:val="28"/>
        </w:rPr>
        <w:t>烹调用油情况</w:t>
      </w:r>
    </w:p>
    <w:p>
      <w:pPr>
        <w:spacing w:beforeLines="50" w:afterLines="50" w:line="360" w:lineRule="auto"/>
        <w:ind w:firstLine="440" w:firstLineChars="200"/>
        <w:rPr>
          <w:rFonts w:cs="Times New Roman" w:asciiTheme="minorEastAsia" w:hAnsiTheme="minorEastAsia" w:eastAsiaTheme="minorEastAsia"/>
        </w:rPr>
      </w:pPr>
      <w:r>
        <w:rPr>
          <w:rFonts w:hint="eastAsia" w:cs="Times New Roman" w:asciiTheme="minorEastAsia" w:hAnsiTheme="minorEastAsia" w:eastAsiaTheme="minorEastAsia"/>
        </w:rPr>
        <w:t>调查人群日均油摄入量均值为36.35±38.25g，男、女性人群日均油摄入量均值分别为34.68±34.03、37.61±41.14g。35.17%（453/1285）的调查对象日均油摄入量在30g及以上。调查对象中日均油摄入量大于30克在18～、30～、40～、50～、60～、70～、80～年龄组占比分别为17.39%、23.44%、27.75%、29.04%、39.59%、45.07%、54.32%。</w:t>
      </w:r>
    </w:p>
    <w:p>
      <w:pPr>
        <w:spacing w:beforeLines="50" w:line="360" w:lineRule="auto"/>
        <w:ind w:firstLine="431" w:firstLineChars="196"/>
        <w:rPr>
          <w:rFonts w:cs="Times New Roman" w:asciiTheme="minorEastAsia" w:hAnsiTheme="minorEastAsia" w:eastAsiaTheme="minorEastAsia"/>
        </w:rPr>
      </w:pPr>
      <w:r>
        <w:rPr>
          <w:rFonts w:hint="eastAsia" w:cs="Times New Roman" w:asciiTheme="minorEastAsia" w:hAnsiTheme="minorEastAsia" w:eastAsiaTheme="minorEastAsia"/>
        </w:rPr>
        <w:t>1288象中，17.39%的调查对象烹调用油是完全植物油，66.46%的调查对象烹调用油是主要植物油，另外有16.15%的调查对象烹调用油是主要动物油。见表18.</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表18   调查对象烹调用油情况</w:t>
      </w:r>
    </w:p>
    <w:tbl>
      <w:tblPr>
        <w:tblStyle w:val="11"/>
        <w:tblW w:w="8519" w:type="dxa"/>
        <w:jc w:val="center"/>
        <w:tblLayout w:type="fixed"/>
        <w:tblCellMar>
          <w:top w:w="0" w:type="dxa"/>
          <w:left w:w="108" w:type="dxa"/>
          <w:bottom w:w="0" w:type="dxa"/>
          <w:right w:w="108" w:type="dxa"/>
        </w:tblCellMar>
      </w:tblPr>
      <w:tblGrid>
        <w:gridCol w:w="1870"/>
        <w:gridCol w:w="980"/>
        <w:gridCol w:w="981"/>
        <w:gridCol w:w="237"/>
        <w:gridCol w:w="1046"/>
        <w:gridCol w:w="1048"/>
        <w:gridCol w:w="237"/>
        <w:gridCol w:w="1055"/>
        <w:gridCol w:w="1065"/>
      </w:tblGrid>
      <w:tr>
        <w:tblPrEx>
          <w:tblCellMar>
            <w:top w:w="0" w:type="dxa"/>
            <w:left w:w="108" w:type="dxa"/>
            <w:bottom w:w="0" w:type="dxa"/>
            <w:right w:w="108" w:type="dxa"/>
          </w:tblCellMar>
        </w:tblPrEx>
        <w:trPr>
          <w:trHeight w:val="285" w:hRule="atLeast"/>
          <w:jc w:val="center"/>
        </w:trPr>
        <w:tc>
          <w:tcPr>
            <w:tcW w:w="1870" w:type="dxa"/>
            <w:vMerge w:val="restart"/>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烹调用油</w:t>
            </w:r>
          </w:p>
        </w:tc>
        <w:tc>
          <w:tcPr>
            <w:tcW w:w="1961"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37"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2094"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237"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2120" w:type="dxa"/>
            <w:gridSpan w:val="2"/>
            <w:tcBorders>
              <w:top w:val="single" w:color="auto" w:sz="4" w:space="0"/>
              <w:left w:val="nil"/>
              <w:bottom w:val="single" w:color="auto" w:sz="4" w:space="0"/>
              <w:right w:val="nil"/>
            </w:tcBorders>
            <w:vAlign w:val="center"/>
          </w:tcPr>
          <w:p>
            <w:pPr>
              <w:spacing w:line="360" w:lineRule="auto"/>
              <w:jc w:val="center"/>
              <w:rPr>
                <w:rFonts w:ascii="宋体" w:hAnsi="宋体"/>
                <w:color w:val="000000"/>
              </w:rPr>
            </w:pPr>
            <w:r>
              <w:rPr>
                <w:rFonts w:hint="eastAsia" w:ascii="宋体" w:hAnsi="宋体"/>
                <w:color w:val="000000"/>
              </w:rPr>
              <w:t>合计</w:t>
            </w:r>
          </w:p>
        </w:tc>
      </w:tr>
      <w:tr>
        <w:tblPrEx>
          <w:tblCellMar>
            <w:top w:w="0" w:type="dxa"/>
            <w:left w:w="108" w:type="dxa"/>
            <w:bottom w:w="0" w:type="dxa"/>
            <w:right w:w="108" w:type="dxa"/>
          </w:tblCellMar>
        </w:tblPrEx>
        <w:trPr>
          <w:trHeight w:val="270" w:hRule="atLeast"/>
          <w:jc w:val="center"/>
        </w:trPr>
        <w:tc>
          <w:tcPr>
            <w:tcW w:w="1870" w:type="dxa"/>
            <w:vMerge w:val="continue"/>
            <w:tcBorders>
              <w:top w:val="single" w:color="008000" w:sz="12"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980"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98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3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046"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048"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3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055" w:type="dxa"/>
            <w:tcBorders>
              <w:top w:val="nil"/>
              <w:left w:val="nil"/>
              <w:bottom w:val="nil"/>
              <w:right w:val="nil"/>
            </w:tcBorders>
            <w:vAlign w:val="center"/>
          </w:tcPr>
          <w:p>
            <w:pPr>
              <w:spacing w:line="360" w:lineRule="auto"/>
              <w:jc w:val="center"/>
              <w:rPr>
                <w:rFonts w:ascii="宋体" w:hAnsi="宋体"/>
                <w:color w:val="000000"/>
              </w:rPr>
            </w:pPr>
            <w:r>
              <w:rPr>
                <w:rFonts w:hint="eastAsia" w:ascii="宋体" w:hAnsi="宋体"/>
                <w:color w:val="000000"/>
              </w:rPr>
              <w:t>例数</w:t>
            </w:r>
          </w:p>
        </w:tc>
        <w:tc>
          <w:tcPr>
            <w:tcW w:w="1065" w:type="dxa"/>
            <w:tcBorders>
              <w:top w:val="nil"/>
              <w:left w:val="nil"/>
              <w:bottom w:val="nil"/>
              <w:right w:val="nil"/>
            </w:tcBorders>
            <w:vAlign w:val="center"/>
          </w:tcPr>
          <w:p>
            <w:pPr>
              <w:spacing w:line="360" w:lineRule="auto"/>
              <w:jc w:val="center"/>
              <w:rPr>
                <w:rFonts w:ascii="宋体" w:hAnsi="宋体"/>
                <w:color w:val="000000"/>
              </w:rPr>
            </w:pPr>
            <w:r>
              <w:rPr>
                <w:rFonts w:hint="eastAsia" w:ascii="宋体" w:hAnsi="宋体"/>
                <w:color w:val="000000"/>
              </w:rPr>
              <w:t>构成比</w:t>
            </w:r>
          </w:p>
        </w:tc>
      </w:tr>
      <w:tr>
        <w:tblPrEx>
          <w:tblCellMar>
            <w:top w:w="0" w:type="dxa"/>
            <w:left w:w="108" w:type="dxa"/>
            <w:bottom w:w="0" w:type="dxa"/>
            <w:right w:w="108" w:type="dxa"/>
          </w:tblCellMar>
        </w:tblPrEx>
        <w:trPr>
          <w:trHeight w:val="294" w:hRule="atLeast"/>
          <w:jc w:val="center"/>
        </w:trPr>
        <w:tc>
          <w:tcPr>
            <w:tcW w:w="1870"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完全植物油</w:t>
            </w:r>
          </w:p>
        </w:tc>
        <w:tc>
          <w:tcPr>
            <w:tcW w:w="980"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94</w:t>
            </w:r>
          </w:p>
        </w:tc>
        <w:tc>
          <w:tcPr>
            <w:tcW w:w="981"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16.94%</w:t>
            </w:r>
          </w:p>
        </w:tc>
        <w:tc>
          <w:tcPr>
            <w:tcW w:w="237"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46"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130</w:t>
            </w:r>
          </w:p>
        </w:tc>
        <w:tc>
          <w:tcPr>
            <w:tcW w:w="1048"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17.74%</w:t>
            </w:r>
          </w:p>
        </w:tc>
        <w:tc>
          <w:tcPr>
            <w:tcW w:w="237"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55" w:type="dxa"/>
            <w:tcBorders>
              <w:top w:val="single" w:color="auto" w:sz="4" w:space="0"/>
              <w:left w:val="nil"/>
              <w:bottom w:val="nil"/>
              <w:right w:val="nil"/>
            </w:tcBorders>
            <w:noWrap/>
          </w:tcPr>
          <w:p>
            <w:pPr>
              <w:spacing w:line="360" w:lineRule="auto"/>
              <w:jc w:val="center"/>
              <w:rPr>
                <w:rFonts w:ascii="Calibri" w:hAnsi="Calibri" w:eastAsia="宋体" w:cs="Calibri"/>
                <w:color w:val="000000"/>
                <w:sz w:val="20"/>
                <w:szCs w:val="20"/>
              </w:rPr>
            </w:pPr>
            <w:r>
              <w:rPr>
                <w:rFonts w:ascii="Calibri" w:hAnsi="Calibri" w:cs="Calibri"/>
                <w:color w:val="000000"/>
                <w:sz w:val="20"/>
                <w:szCs w:val="20"/>
              </w:rPr>
              <w:t>224</w:t>
            </w:r>
          </w:p>
        </w:tc>
        <w:tc>
          <w:tcPr>
            <w:tcW w:w="1065" w:type="dxa"/>
            <w:tcBorders>
              <w:top w:val="single" w:color="auto" w:sz="4" w:space="0"/>
              <w:left w:val="nil"/>
              <w:bottom w:val="nil"/>
              <w:right w:val="nil"/>
            </w:tcBorders>
          </w:tcPr>
          <w:p>
            <w:pPr>
              <w:spacing w:line="360" w:lineRule="auto"/>
              <w:jc w:val="center"/>
              <w:rPr>
                <w:rFonts w:ascii="Calibri" w:hAnsi="Calibri" w:eastAsia="宋体" w:cs="Calibri"/>
                <w:color w:val="000000"/>
                <w:sz w:val="20"/>
                <w:szCs w:val="20"/>
              </w:rPr>
            </w:pPr>
            <w:r>
              <w:rPr>
                <w:rFonts w:ascii="Calibri" w:hAnsi="Calibri" w:cs="Calibri"/>
                <w:color w:val="000000"/>
                <w:sz w:val="20"/>
                <w:szCs w:val="20"/>
              </w:rPr>
              <w:t>17.39%</w:t>
            </w:r>
          </w:p>
        </w:tc>
      </w:tr>
      <w:tr>
        <w:tblPrEx>
          <w:tblCellMar>
            <w:top w:w="0" w:type="dxa"/>
            <w:left w:w="108" w:type="dxa"/>
            <w:bottom w:w="0" w:type="dxa"/>
            <w:right w:w="108" w:type="dxa"/>
          </w:tblCellMar>
        </w:tblPrEx>
        <w:trPr>
          <w:trHeight w:val="270" w:hRule="atLeast"/>
          <w:jc w:val="center"/>
        </w:trPr>
        <w:tc>
          <w:tcPr>
            <w:tcW w:w="1870"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主要植物油</w:t>
            </w:r>
          </w:p>
        </w:tc>
        <w:tc>
          <w:tcPr>
            <w:tcW w:w="980"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357</w:t>
            </w:r>
          </w:p>
        </w:tc>
        <w:tc>
          <w:tcPr>
            <w:tcW w:w="981"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64.32%</w:t>
            </w:r>
          </w:p>
        </w:tc>
        <w:tc>
          <w:tcPr>
            <w:tcW w:w="237"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46"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499</w:t>
            </w:r>
          </w:p>
        </w:tc>
        <w:tc>
          <w:tcPr>
            <w:tcW w:w="1048"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68.08%</w:t>
            </w:r>
          </w:p>
        </w:tc>
        <w:tc>
          <w:tcPr>
            <w:tcW w:w="237"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55" w:type="dxa"/>
            <w:tcBorders>
              <w:top w:val="nil"/>
              <w:left w:val="nil"/>
              <w:bottom w:val="nil"/>
              <w:right w:val="nil"/>
            </w:tcBorders>
            <w:noWrap/>
          </w:tcPr>
          <w:p>
            <w:pPr>
              <w:spacing w:line="360" w:lineRule="auto"/>
              <w:jc w:val="center"/>
              <w:rPr>
                <w:rFonts w:ascii="Calibri" w:hAnsi="Calibri" w:eastAsia="宋体" w:cs="Calibri"/>
                <w:color w:val="000000"/>
                <w:sz w:val="20"/>
                <w:szCs w:val="20"/>
              </w:rPr>
            </w:pPr>
            <w:r>
              <w:rPr>
                <w:rFonts w:ascii="Calibri" w:hAnsi="Calibri" w:cs="Calibri"/>
                <w:color w:val="000000"/>
                <w:sz w:val="20"/>
                <w:szCs w:val="20"/>
              </w:rPr>
              <w:t>856</w:t>
            </w:r>
          </w:p>
        </w:tc>
        <w:tc>
          <w:tcPr>
            <w:tcW w:w="1065" w:type="dxa"/>
            <w:tcBorders>
              <w:top w:val="nil"/>
              <w:left w:val="nil"/>
              <w:bottom w:val="nil"/>
              <w:right w:val="nil"/>
            </w:tcBorders>
          </w:tcPr>
          <w:p>
            <w:pPr>
              <w:spacing w:line="360" w:lineRule="auto"/>
              <w:jc w:val="center"/>
              <w:rPr>
                <w:rFonts w:ascii="Calibri" w:hAnsi="Calibri" w:eastAsia="宋体" w:cs="Calibri"/>
                <w:color w:val="000000"/>
                <w:sz w:val="20"/>
                <w:szCs w:val="20"/>
              </w:rPr>
            </w:pPr>
            <w:r>
              <w:rPr>
                <w:rFonts w:ascii="Calibri" w:hAnsi="Calibri" w:cs="Calibri"/>
                <w:color w:val="000000"/>
                <w:sz w:val="20"/>
                <w:szCs w:val="20"/>
              </w:rPr>
              <w:t>66.46%</w:t>
            </w:r>
          </w:p>
        </w:tc>
      </w:tr>
      <w:tr>
        <w:tblPrEx>
          <w:tblCellMar>
            <w:top w:w="0" w:type="dxa"/>
            <w:left w:w="108" w:type="dxa"/>
            <w:bottom w:w="0" w:type="dxa"/>
            <w:right w:w="108" w:type="dxa"/>
          </w:tblCellMar>
        </w:tblPrEx>
        <w:trPr>
          <w:trHeight w:val="90" w:hRule="atLeast"/>
          <w:jc w:val="center"/>
        </w:trPr>
        <w:tc>
          <w:tcPr>
            <w:tcW w:w="1870" w:type="dxa"/>
            <w:tcBorders>
              <w:top w:val="nil"/>
              <w:left w:val="nil"/>
              <w:bottom w:val="single" w:color="auto" w:sz="4"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主要动物油</w:t>
            </w:r>
          </w:p>
        </w:tc>
        <w:tc>
          <w:tcPr>
            <w:tcW w:w="980"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104</w:t>
            </w:r>
          </w:p>
        </w:tc>
        <w:tc>
          <w:tcPr>
            <w:tcW w:w="981"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18.74%</w:t>
            </w:r>
          </w:p>
        </w:tc>
        <w:tc>
          <w:tcPr>
            <w:tcW w:w="237"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p>
        </w:tc>
        <w:tc>
          <w:tcPr>
            <w:tcW w:w="1046"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104</w:t>
            </w:r>
          </w:p>
        </w:tc>
        <w:tc>
          <w:tcPr>
            <w:tcW w:w="1048"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14.19%</w:t>
            </w:r>
          </w:p>
        </w:tc>
        <w:tc>
          <w:tcPr>
            <w:tcW w:w="237"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p>
        </w:tc>
        <w:tc>
          <w:tcPr>
            <w:tcW w:w="1055" w:type="dxa"/>
            <w:tcBorders>
              <w:top w:val="nil"/>
              <w:left w:val="nil"/>
              <w:bottom w:val="single" w:color="auto" w:sz="4" w:space="0"/>
              <w:right w:val="nil"/>
            </w:tcBorders>
            <w:noWrap/>
          </w:tcPr>
          <w:p>
            <w:pPr>
              <w:spacing w:line="360" w:lineRule="auto"/>
              <w:jc w:val="center"/>
              <w:rPr>
                <w:rFonts w:ascii="Calibri" w:hAnsi="Calibri" w:eastAsia="宋体" w:cs="Calibri"/>
                <w:color w:val="000000"/>
                <w:sz w:val="20"/>
                <w:szCs w:val="20"/>
              </w:rPr>
            </w:pPr>
            <w:r>
              <w:rPr>
                <w:rFonts w:ascii="Calibri" w:hAnsi="Calibri" w:cs="Calibri"/>
                <w:color w:val="000000"/>
                <w:sz w:val="20"/>
                <w:szCs w:val="20"/>
              </w:rPr>
              <w:t>208</w:t>
            </w:r>
          </w:p>
        </w:tc>
        <w:tc>
          <w:tcPr>
            <w:tcW w:w="1065" w:type="dxa"/>
            <w:tcBorders>
              <w:top w:val="nil"/>
              <w:left w:val="nil"/>
              <w:bottom w:val="single" w:color="auto" w:sz="4" w:space="0"/>
              <w:right w:val="nil"/>
            </w:tcBorders>
          </w:tcPr>
          <w:p>
            <w:pPr>
              <w:spacing w:line="360" w:lineRule="auto"/>
              <w:jc w:val="center"/>
              <w:rPr>
                <w:rFonts w:ascii="Calibri" w:hAnsi="Calibri" w:eastAsia="宋体" w:cs="Calibri"/>
                <w:color w:val="000000"/>
                <w:sz w:val="20"/>
                <w:szCs w:val="20"/>
              </w:rPr>
            </w:pPr>
            <w:r>
              <w:rPr>
                <w:rFonts w:ascii="Calibri" w:hAnsi="Calibri" w:cs="Calibri"/>
                <w:color w:val="000000"/>
                <w:sz w:val="20"/>
                <w:szCs w:val="20"/>
              </w:rPr>
              <w:t>16.15%</w:t>
            </w:r>
          </w:p>
        </w:tc>
      </w:tr>
      <w:tr>
        <w:tblPrEx>
          <w:tblCellMar>
            <w:top w:w="0" w:type="dxa"/>
            <w:left w:w="108" w:type="dxa"/>
            <w:bottom w:w="0" w:type="dxa"/>
            <w:right w:w="108" w:type="dxa"/>
          </w:tblCellMar>
        </w:tblPrEx>
        <w:trPr>
          <w:trHeight w:val="285" w:hRule="atLeast"/>
          <w:jc w:val="center"/>
        </w:trPr>
        <w:tc>
          <w:tcPr>
            <w:tcW w:w="1870" w:type="dxa"/>
            <w:tcBorders>
              <w:top w:val="nil"/>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980"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555</w:t>
            </w:r>
          </w:p>
        </w:tc>
        <w:tc>
          <w:tcPr>
            <w:tcW w:w="981"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100.00%</w:t>
            </w:r>
          </w:p>
        </w:tc>
        <w:tc>
          <w:tcPr>
            <w:tcW w:w="237"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p>
        </w:tc>
        <w:tc>
          <w:tcPr>
            <w:tcW w:w="1046"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733</w:t>
            </w:r>
          </w:p>
        </w:tc>
        <w:tc>
          <w:tcPr>
            <w:tcW w:w="1048"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r>
              <w:rPr>
                <w:rFonts w:cs="Calibri" w:asciiTheme="minorEastAsia" w:hAnsiTheme="minorEastAsia" w:eastAsiaTheme="minorEastAsia"/>
                <w:color w:val="000000"/>
                <w:sz w:val="21"/>
                <w:szCs w:val="21"/>
              </w:rPr>
              <w:t>100.00%</w:t>
            </w:r>
          </w:p>
        </w:tc>
        <w:tc>
          <w:tcPr>
            <w:tcW w:w="237"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p>
        </w:tc>
        <w:tc>
          <w:tcPr>
            <w:tcW w:w="1055" w:type="dxa"/>
            <w:tcBorders>
              <w:top w:val="nil"/>
              <w:left w:val="nil"/>
              <w:bottom w:val="single" w:color="auto" w:sz="8" w:space="0"/>
              <w:right w:val="nil"/>
            </w:tcBorders>
            <w:noWrap/>
          </w:tcPr>
          <w:p>
            <w:pPr>
              <w:spacing w:line="360" w:lineRule="auto"/>
              <w:jc w:val="center"/>
              <w:rPr>
                <w:rFonts w:ascii="Calibri" w:hAnsi="Calibri" w:eastAsia="宋体" w:cs="Calibri"/>
                <w:color w:val="000000"/>
                <w:sz w:val="20"/>
                <w:szCs w:val="20"/>
              </w:rPr>
            </w:pPr>
            <w:r>
              <w:rPr>
                <w:rFonts w:ascii="Calibri" w:hAnsi="Calibri" w:cs="Calibri"/>
                <w:color w:val="000000"/>
                <w:sz w:val="20"/>
                <w:szCs w:val="20"/>
              </w:rPr>
              <w:t>1288</w:t>
            </w:r>
          </w:p>
        </w:tc>
        <w:tc>
          <w:tcPr>
            <w:tcW w:w="1065" w:type="dxa"/>
            <w:tcBorders>
              <w:top w:val="nil"/>
              <w:left w:val="nil"/>
              <w:bottom w:val="single" w:color="auto" w:sz="8" w:space="0"/>
              <w:right w:val="nil"/>
            </w:tcBorders>
          </w:tcPr>
          <w:p>
            <w:pPr>
              <w:spacing w:line="360" w:lineRule="auto"/>
              <w:jc w:val="center"/>
              <w:rPr>
                <w:rFonts w:ascii="Calibri" w:hAnsi="Calibri" w:eastAsia="宋体" w:cs="Calibri"/>
                <w:color w:val="000000"/>
                <w:sz w:val="20"/>
                <w:szCs w:val="20"/>
              </w:rPr>
            </w:pPr>
            <w:r>
              <w:rPr>
                <w:rFonts w:ascii="Calibri" w:hAnsi="Calibri" w:cs="Calibri"/>
                <w:color w:val="000000"/>
                <w:sz w:val="20"/>
                <w:szCs w:val="20"/>
              </w:rPr>
              <w:t>100.00%</w:t>
            </w:r>
          </w:p>
        </w:tc>
      </w:tr>
    </w:tbl>
    <w:p>
      <w:pPr>
        <w:pStyle w:val="17"/>
        <w:tabs>
          <w:tab w:val="left" w:pos="709"/>
        </w:tabs>
        <w:snapToGrid w:val="0"/>
        <w:spacing w:line="360" w:lineRule="auto"/>
        <w:ind w:firstLine="562"/>
        <w:jc w:val="left"/>
        <w:rPr>
          <w:rFonts w:asciiTheme="minorEastAsia" w:hAnsiTheme="minorEastAsia"/>
          <w:b/>
          <w:sz w:val="28"/>
          <w:szCs w:val="28"/>
        </w:rPr>
      </w:pPr>
      <w:r>
        <w:rPr>
          <w:rFonts w:hint="eastAsia" w:asciiTheme="minorEastAsia" w:hAnsiTheme="minorEastAsia"/>
          <w:b/>
          <w:sz w:val="28"/>
          <w:szCs w:val="28"/>
        </w:rPr>
        <w:t>2、食盐摄入量情况</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调查人群日均盐摄入量均值为13.67±16.52g，男、女性人群日均盐摄入量均值分别为14.21±21.02、13.27±12.05g</w:t>
      </w:r>
      <w:bookmarkStart w:id="22" w:name="_Hlk479864597"/>
      <w:r>
        <w:rPr>
          <w:rFonts w:hint="eastAsia" w:cs="Times New Roman" w:asciiTheme="minorEastAsia" w:hAnsiTheme="minorEastAsia" w:eastAsiaTheme="minorEastAsia"/>
          <w:sz w:val="24"/>
          <w:szCs w:val="24"/>
        </w:rPr>
        <w:t>。</w:t>
      </w:r>
      <w:bookmarkEnd w:id="22"/>
      <w:r>
        <w:rPr>
          <w:rFonts w:hint="eastAsia" w:cs="Times New Roman" w:asciiTheme="minorEastAsia" w:hAnsiTheme="minorEastAsia" w:eastAsiaTheme="minorEastAsia"/>
          <w:sz w:val="24"/>
          <w:szCs w:val="24"/>
        </w:rPr>
        <w:t>85.47%（1100/1287）的调查对象日均盐摄入量在5g及以上，81.75%（1053/1288）的调查对象日均盐摄入量在6g及以上，60.87%（784/1288）的调查对象日均盐摄入量在9g及以上。调查对象中日均盐摄入量大于9克在18～、30～、40～、50～、60～、70～、80～年龄组占比分别为52.17%、51.56%、59.81%、63.17%、60.41%、64.32%、59.26%。</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1288名调查对象中，1288人回答了“健康成人每人每天吃多少盐合适？”，18.26%认为每日食盐3～5克合适，26.75%的人认为6～8克合适，4.48%认为10～12克合适，44.85%的人回答“不知道”。见表19.</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表19   调查对象对健康成人每人每天食盐量的认识情况</w:t>
      </w:r>
    </w:p>
    <w:tbl>
      <w:tblPr>
        <w:tblStyle w:val="11"/>
        <w:tblW w:w="8519" w:type="dxa"/>
        <w:jc w:val="center"/>
        <w:tblLayout w:type="fixed"/>
        <w:tblCellMar>
          <w:top w:w="0" w:type="dxa"/>
          <w:left w:w="108" w:type="dxa"/>
          <w:bottom w:w="0" w:type="dxa"/>
          <w:right w:w="108" w:type="dxa"/>
        </w:tblCellMar>
      </w:tblPr>
      <w:tblGrid>
        <w:gridCol w:w="1869"/>
        <w:gridCol w:w="979"/>
        <w:gridCol w:w="982"/>
        <w:gridCol w:w="236"/>
        <w:gridCol w:w="1047"/>
        <w:gridCol w:w="1047"/>
        <w:gridCol w:w="236"/>
        <w:gridCol w:w="1057"/>
        <w:gridCol w:w="1066"/>
      </w:tblGrid>
      <w:tr>
        <w:tblPrEx>
          <w:tblCellMar>
            <w:top w:w="0" w:type="dxa"/>
            <w:left w:w="108" w:type="dxa"/>
            <w:bottom w:w="0" w:type="dxa"/>
            <w:right w:w="108" w:type="dxa"/>
          </w:tblCellMar>
        </w:tblPrEx>
        <w:trPr>
          <w:trHeight w:val="285" w:hRule="atLeast"/>
          <w:jc w:val="center"/>
        </w:trPr>
        <w:tc>
          <w:tcPr>
            <w:tcW w:w="1875" w:type="dxa"/>
            <w:vMerge w:val="restart"/>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每天食盐量</w:t>
            </w:r>
          </w:p>
        </w:tc>
        <w:tc>
          <w:tcPr>
            <w:tcW w:w="1967"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22"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2102"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222"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2131"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270" w:hRule="atLeast"/>
          <w:jc w:val="center"/>
        </w:trPr>
        <w:tc>
          <w:tcPr>
            <w:tcW w:w="1875" w:type="dxa"/>
            <w:vMerge w:val="continue"/>
            <w:tcBorders>
              <w:top w:val="single" w:color="008000" w:sz="12"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98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985"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2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05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05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2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06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070"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r>
      <w:tr>
        <w:tblPrEx>
          <w:tblCellMar>
            <w:top w:w="0" w:type="dxa"/>
            <w:left w:w="108" w:type="dxa"/>
            <w:bottom w:w="0" w:type="dxa"/>
            <w:right w:w="108" w:type="dxa"/>
          </w:tblCellMar>
        </w:tblPrEx>
        <w:trPr>
          <w:trHeight w:val="270" w:hRule="atLeast"/>
          <w:jc w:val="center"/>
        </w:trPr>
        <w:tc>
          <w:tcPr>
            <w:tcW w:w="1875"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3～5克</w:t>
            </w:r>
          </w:p>
        </w:tc>
        <w:tc>
          <w:tcPr>
            <w:tcW w:w="982"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102</w:t>
            </w:r>
          </w:p>
        </w:tc>
        <w:tc>
          <w:tcPr>
            <w:tcW w:w="985"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18.38%</w:t>
            </w:r>
          </w:p>
        </w:tc>
        <w:tc>
          <w:tcPr>
            <w:tcW w:w="222"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51" w:type="dxa"/>
            <w:tcBorders>
              <w:top w:val="single" w:color="auto" w:sz="4" w:space="0"/>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129</w:t>
            </w:r>
          </w:p>
        </w:tc>
        <w:tc>
          <w:tcPr>
            <w:tcW w:w="1051"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17.60%</w:t>
            </w:r>
          </w:p>
        </w:tc>
        <w:tc>
          <w:tcPr>
            <w:tcW w:w="222" w:type="dxa"/>
            <w:tcBorders>
              <w:top w:val="single" w:color="auto" w:sz="4" w:space="0"/>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61" w:type="dxa"/>
            <w:tcBorders>
              <w:top w:val="single" w:color="auto" w:sz="4" w:space="0"/>
              <w:left w:val="nil"/>
              <w:bottom w:val="nil"/>
              <w:right w:val="nil"/>
            </w:tcBorders>
            <w:noWrap/>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231</w:t>
            </w:r>
          </w:p>
        </w:tc>
        <w:tc>
          <w:tcPr>
            <w:tcW w:w="1070" w:type="dxa"/>
            <w:tcBorders>
              <w:top w:val="single" w:color="auto" w:sz="4" w:space="0"/>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17.93%</w:t>
            </w:r>
          </w:p>
        </w:tc>
      </w:tr>
      <w:tr>
        <w:tblPrEx>
          <w:tblCellMar>
            <w:top w:w="0" w:type="dxa"/>
            <w:left w:w="108" w:type="dxa"/>
            <w:bottom w:w="0" w:type="dxa"/>
            <w:right w:w="108" w:type="dxa"/>
          </w:tblCellMar>
        </w:tblPrEx>
        <w:trPr>
          <w:trHeight w:val="270" w:hRule="atLeast"/>
          <w:jc w:val="center"/>
        </w:trPr>
        <w:tc>
          <w:tcPr>
            <w:tcW w:w="1875"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6～8克</w:t>
            </w:r>
          </w:p>
        </w:tc>
        <w:tc>
          <w:tcPr>
            <w:tcW w:w="982"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82</w:t>
            </w:r>
          </w:p>
        </w:tc>
        <w:tc>
          <w:tcPr>
            <w:tcW w:w="985"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14.77%</w:t>
            </w:r>
          </w:p>
        </w:tc>
        <w:tc>
          <w:tcPr>
            <w:tcW w:w="222"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5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122</w:t>
            </w:r>
          </w:p>
        </w:tc>
        <w:tc>
          <w:tcPr>
            <w:tcW w:w="10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16.64%</w:t>
            </w:r>
          </w:p>
        </w:tc>
        <w:tc>
          <w:tcPr>
            <w:tcW w:w="222" w:type="dxa"/>
            <w:tcBorders>
              <w:top w:val="nil"/>
              <w:left w:val="nil"/>
              <w:bottom w:val="nil"/>
              <w:right w:val="nil"/>
            </w:tcBorders>
          </w:tcPr>
          <w:p>
            <w:pPr>
              <w:spacing w:line="360" w:lineRule="auto"/>
              <w:jc w:val="center"/>
              <w:rPr>
                <w:rFonts w:cs="Calibri" w:asciiTheme="minorEastAsia" w:hAnsiTheme="minorEastAsia" w:eastAsiaTheme="minorEastAsia"/>
                <w:color w:val="000000"/>
                <w:sz w:val="21"/>
                <w:szCs w:val="21"/>
              </w:rPr>
            </w:pPr>
          </w:p>
        </w:tc>
        <w:tc>
          <w:tcPr>
            <w:tcW w:w="1061" w:type="dxa"/>
            <w:tcBorders>
              <w:top w:val="nil"/>
              <w:left w:val="nil"/>
              <w:bottom w:val="nil"/>
              <w:right w:val="nil"/>
            </w:tcBorders>
            <w:noWrap/>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204</w:t>
            </w:r>
          </w:p>
        </w:tc>
        <w:tc>
          <w:tcPr>
            <w:tcW w:w="1070"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15.84%</w:t>
            </w:r>
          </w:p>
        </w:tc>
      </w:tr>
      <w:tr>
        <w:tblPrEx>
          <w:tblCellMar>
            <w:top w:w="0" w:type="dxa"/>
            <w:left w:w="108" w:type="dxa"/>
            <w:bottom w:w="0" w:type="dxa"/>
            <w:right w:w="108" w:type="dxa"/>
          </w:tblCellMar>
        </w:tblPrEx>
        <w:trPr>
          <w:trHeight w:val="270" w:hRule="atLeast"/>
          <w:jc w:val="center"/>
        </w:trPr>
        <w:tc>
          <w:tcPr>
            <w:tcW w:w="1875"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10～12克</w:t>
            </w:r>
          </w:p>
        </w:tc>
        <w:tc>
          <w:tcPr>
            <w:tcW w:w="982"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25</w:t>
            </w:r>
          </w:p>
        </w:tc>
        <w:tc>
          <w:tcPr>
            <w:tcW w:w="985"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4.50%</w:t>
            </w:r>
          </w:p>
        </w:tc>
        <w:tc>
          <w:tcPr>
            <w:tcW w:w="222" w:type="dxa"/>
            <w:tcBorders>
              <w:top w:val="nil"/>
              <w:left w:val="nil"/>
              <w:bottom w:val="nil"/>
              <w:right w:val="nil"/>
            </w:tcBorders>
          </w:tcPr>
          <w:p>
            <w:pPr>
              <w:spacing w:line="360" w:lineRule="auto"/>
              <w:jc w:val="center"/>
              <w:rPr>
                <w:rFonts w:cs="宋体" w:asciiTheme="minorEastAsia" w:hAnsiTheme="minorEastAsia" w:eastAsiaTheme="minorEastAsia"/>
                <w:color w:val="000000"/>
                <w:sz w:val="21"/>
                <w:szCs w:val="21"/>
              </w:rPr>
            </w:pPr>
          </w:p>
        </w:tc>
        <w:tc>
          <w:tcPr>
            <w:tcW w:w="1051" w:type="dxa"/>
            <w:tcBorders>
              <w:top w:val="nil"/>
              <w:left w:val="nil"/>
              <w:bottom w:val="nil"/>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24</w:t>
            </w:r>
          </w:p>
        </w:tc>
        <w:tc>
          <w:tcPr>
            <w:tcW w:w="1051"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3.27%</w:t>
            </w:r>
          </w:p>
        </w:tc>
        <w:tc>
          <w:tcPr>
            <w:tcW w:w="222" w:type="dxa"/>
            <w:tcBorders>
              <w:top w:val="nil"/>
              <w:left w:val="nil"/>
              <w:bottom w:val="nil"/>
              <w:right w:val="nil"/>
            </w:tcBorders>
          </w:tcPr>
          <w:p>
            <w:pPr>
              <w:spacing w:line="360" w:lineRule="auto"/>
              <w:jc w:val="center"/>
              <w:rPr>
                <w:rFonts w:cs="宋体" w:asciiTheme="minorEastAsia" w:hAnsiTheme="minorEastAsia" w:eastAsiaTheme="minorEastAsia"/>
                <w:color w:val="000000"/>
                <w:sz w:val="21"/>
                <w:szCs w:val="21"/>
              </w:rPr>
            </w:pPr>
          </w:p>
        </w:tc>
        <w:tc>
          <w:tcPr>
            <w:tcW w:w="1061" w:type="dxa"/>
            <w:tcBorders>
              <w:top w:val="nil"/>
              <w:left w:val="nil"/>
              <w:bottom w:val="nil"/>
              <w:right w:val="nil"/>
            </w:tcBorders>
            <w:noWrap/>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49</w:t>
            </w:r>
          </w:p>
        </w:tc>
        <w:tc>
          <w:tcPr>
            <w:tcW w:w="1070" w:type="dxa"/>
            <w:tcBorders>
              <w:top w:val="nil"/>
              <w:left w:val="nil"/>
              <w:bottom w:val="nil"/>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3.80%</w:t>
            </w:r>
          </w:p>
        </w:tc>
      </w:tr>
      <w:tr>
        <w:tblPrEx>
          <w:tblCellMar>
            <w:top w:w="0" w:type="dxa"/>
            <w:left w:w="108" w:type="dxa"/>
            <w:bottom w:w="0" w:type="dxa"/>
            <w:right w:w="108" w:type="dxa"/>
          </w:tblCellMar>
        </w:tblPrEx>
        <w:trPr>
          <w:trHeight w:val="90" w:hRule="atLeast"/>
          <w:jc w:val="center"/>
        </w:trPr>
        <w:tc>
          <w:tcPr>
            <w:tcW w:w="1875" w:type="dxa"/>
            <w:tcBorders>
              <w:top w:val="nil"/>
              <w:left w:val="nil"/>
              <w:bottom w:val="single" w:color="auto" w:sz="4"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不知道</w:t>
            </w:r>
          </w:p>
        </w:tc>
        <w:tc>
          <w:tcPr>
            <w:tcW w:w="982"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346</w:t>
            </w:r>
          </w:p>
        </w:tc>
        <w:tc>
          <w:tcPr>
            <w:tcW w:w="985"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62.34%</w:t>
            </w:r>
          </w:p>
        </w:tc>
        <w:tc>
          <w:tcPr>
            <w:tcW w:w="222"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p>
        </w:tc>
        <w:tc>
          <w:tcPr>
            <w:tcW w:w="1051" w:type="dxa"/>
            <w:tcBorders>
              <w:top w:val="nil"/>
              <w:left w:val="nil"/>
              <w:bottom w:val="single" w:color="auto" w:sz="4"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458</w:t>
            </w:r>
          </w:p>
        </w:tc>
        <w:tc>
          <w:tcPr>
            <w:tcW w:w="1051"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62.48%</w:t>
            </w:r>
          </w:p>
        </w:tc>
        <w:tc>
          <w:tcPr>
            <w:tcW w:w="222" w:type="dxa"/>
            <w:tcBorders>
              <w:top w:val="nil"/>
              <w:left w:val="nil"/>
              <w:bottom w:val="single" w:color="auto" w:sz="4" w:space="0"/>
              <w:right w:val="nil"/>
            </w:tcBorders>
          </w:tcPr>
          <w:p>
            <w:pPr>
              <w:spacing w:line="360" w:lineRule="auto"/>
              <w:jc w:val="center"/>
              <w:rPr>
                <w:rFonts w:cs="Calibri" w:asciiTheme="minorEastAsia" w:hAnsiTheme="minorEastAsia" w:eastAsiaTheme="minorEastAsia"/>
                <w:color w:val="000000"/>
                <w:sz w:val="21"/>
                <w:szCs w:val="21"/>
              </w:rPr>
            </w:pPr>
          </w:p>
        </w:tc>
        <w:tc>
          <w:tcPr>
            <w:tcW w:w="1061" w:type="dxa"/>
            <w:tcBorders>
              <w:top w:val="nil"/>
              <w:left w:val="nil"/>
              <w:bottom w:val="single" w:color="auto" w:sz="4" w:space="0"/>
              <w:right w:val="nil"/>
            </w:tcBorders>
            <w:noWrap/>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804</w:t>
            </w:r>
          </w:p>
        </w:tc>
        <w:tc>
          <w:tcPr>
            <w:tcW w:w="1070" w:type="dxa"/>
            <w:tcBorders>
              <w:top w:val="nil"/>
              <w:left w:val="nil"/>
              <w:bottom w:val="single" w:color="auto" w:sz="4"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62.42%</w:t>
            </w:r>
          </w:p>
        </w:tc>
      </w:tr>
      <w:tr>
        <w:tblPrEx>
          <w:tblCellMar>
            <w:top w:w="0" w:type="dxa"/>
            <w:left w:w="108" w:type="dxa"/>
            <w:bottom w:w="0" w:type="dxa"/>
            <w:right w:w="108" w:type="dxa"/>
          </w:tblCellMar>
        </w:tblPrEx>
        <w:trPr>
          <w:trHeight w:val="285" w:hRule="atLeast"/>
          <w:jc w:val="center"/>
        </w:trPr>
        <w:tc>
          <w:tcPr>
            <w:tcW w:w="1875" w:type="dxa"/>
            <w:tcBorders>
              <w:top w:val="nil"/>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982"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555</w:t>
            </w:r>
          </w:p>
        </w:tc>
        <w:tc>
          <w:tcPr>
            <w:tcW w:w="985"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p>
        </w:tc>
        <w:tc>
          <w:tcPr>
            <w:tcW w:w="1051" w:type="dxa"/>
            <w:tcBorders>
              <w:top w:val="nil"/>
              <w:left w:val="nil"/>
              <w:bottom w:val="single" w:color="auto" w:sz="8" w:space="0"/>
              <w:right w:val="nil"/>
            </w:tcBorders>
            <w:noWrap/>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733</w:t>
            </w:r>
          </w:p>
        </w:tc>
        <w:tc>
          <w:tcPr>
            <w:tcW w:w="1051"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single" w:color="auto" w:sz="8" w:space="0"/>
              <w:right w:val="nil"/>
            </w:tcBorders>
          </w:tcPr>
          <w:p>
            <w:pPr>
              <w:spacing w:line="360" w:lineRule="auto"/>
              <w:jc w:val="center"/>
              <w:rPr>
                <w:rFonts w:cs="Calibri" w:asciiTheme="minorEastAsia" w:hAnsiTheme="minorEastAsia" w:eastAsiaTheme="minorEastAsia"/>
                <w:color w:val="000000"/>
                <w:sz w:val="21"/>
                <w:szCs w:val="21"/>
              </w:rPr>
            </w:pPr>
          </w:p>
        </w:tc>
        <w:tc>
          <w:tcPr>
            <w:tcW w:w="1061" w:type="dxa"/>
            <w:tcBorders>
              <w:top w:val="nil"/>
              <w:left w:val="nil"/>
              <w:bottom w:val="single" w:color="auto" w:sz="8" w:space="0"/>
              <w:right w:val="nil"/>
            </w:tcBorders>
            <w:noWrap/>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1288</w:t>
            </w:r>
          </w:p>
        </w:tc>
        <w:tc>
          <w:tcPr>
            <w:tcW w:w="1070" w:type="dxa"/>
            <w:tcBorders>
              <w:top w:val="nil"/>
              <w:left w:val="nil"/>
              <w:bottom w:val="single" w:color="auto" w:sz="8" w:space="0"/>
              <w:right w:val="nil"/>
            </w:tcBorders>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r>
    </w:tbl>
    <w:p>
      <w:pPr>
        <w:spacing w:after="0"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3、其他类食物</w:t>
      </w:r>
    </w:p>
    <w:bookmarkEnd w:id="20"/>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调查对象经常食用肉类、水产类、新鲜蔬菜、蛋及其制品、奶类（不包括乳饮料）、大豆及其制品、腌制品、水果的比例分别是45.65%、66.77%、89.44%、51.55%、22.13%、30.36%、14.83%、49.61%。</w:t>
      </w:r>
    </w:p>
    <w:p>
      <w:pPr>
        <w:spacing w:after="0" w:line="360" w:lineRule="auto"/>
        <w:ind w:firstLine="200"/>
        <w:rPr>
          <w:rFonts w:asciiTheme="minorEastAsia" w:hAnsiTheme="minorEastAsia" w:eastAsiaTheme="minorEastAsia"/>
          <w:sz w:val="32"/>
          <w:szCs w:val="32"/>
        </w:rPr>
      </w:pPr>
      <w:r>
        <w:rPr>
          <w:rFonts w:asciiTheme="minorEastAsia" w:hAnsiTheme="minorEastAsia" w:eastAsiaTheme="minorEastAsia"/>
          <w:b/>
          <w:sz w:val="32"/>
          <w:szCs w:val="32"/>
        </w:rPr>
        <w:t>（五）</w:t>
      </w:r>
      <w:bookmarkStart w:id="23" w:name="_Toc364026668"/>
      <w:r>
        <w:rPr>
          <w:rFonts w:hint="eastAsia" w:asciiTheme="minorEastAsia" w:hAnsiTheme="minorEastAsia" w:eastAsiaTheme="minorEastAsia"/>
          <w:b/>
          <w:sz w:val="32"/>
          <w:szCs w:val="32"/>
        </w:rPr>
        <w:t>知晓情况</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asciiTheme="minorEastAsia" w:hAnsiTheme="minorEastAsia" w:eastAsiaTheme="minorEastAsia"/>
          <w:sz w:val="24"/>
          <w:szCs w:val="24"/>
        </w:rPr>
        <w:t>调查的571名18岁及以上对象中，</w:t>
      </w:r>
      <w:r>
        <w:rPr>
          <w:rFonts w:asciiTheme="minorEastAsia" w:hAnsiTheme="minorEastAsia" w:eastAsiaTheme="minorEastAsia"/>
          <w:sz w:val="24"/>
          <w:szCs w:val="24"/>
        </w:rPr>
        <w:t>人群体重、腰围、血压、血糖</w:t>
      </w:r>
      <w:r>
        <w:rPr>
          <w:rFonts w:hint="eastAsia" w:asciiTheme="minorEastAsia" w:hAnsiTheme="minorEastAsia" w:eastAsiaTheme="minorEastAsia"/>
          <w:sz w:val="24"/>
          <w:szCs w:val="24"/>
        </w:rPr>
        <w:t>、血脂</w:t>
      </w:r>
      <w:r>
        <w:rPr>
          <w:rFonts w:asciiTheme="minorEastAsia" w:hAnsiTheme="minorEastAsia" w:eastAsiaTheme="minorEastAsia"/>
          <w:sz w:val="24"/>
          <w:szCs w:val="24"/>
        </w:rPr>
        <w:t>知晓率</w:t>
      </w:r>
      <w:r>
        <w:rPr>
          <w:rFonts w:hint="eastAsia" w:asciiTheme="minorEastAsia" w:hAnsiTheme="minorEastAsia" w:eastAsiaTheme="minorEastAsia"/>
          <w:sz w:val="24"/>
          <w:szCs w:val="24"/>
        </w:rPr>
        <w:t>以及高血压、糖尿病知晓率平均为73.30% ;其中“高血压诊断标准”、“每日推荐运动步数”三项知识知晓率低于50%，而“自身体重值”、“孕妇吸烟影响胎儿”、“肥胖导致糖尿病”、“高血压导致脑卒中”知晓率较高，均高于90%。</w:t>
      </w:r>
      <w:r>
        <w:rPr>
          <w:rFonts w:hint="eastAsia" w:cs="Times New Roman" w:asciiTheme="minorEastAsia" w:hAnsiTheme="minorEastAsia" w:eastAsiaTheme="minorEastAsia"/>
          <w:sz w:val="24"/>
          <w:szCs w:val="24"/>
        </w:rPr>
        <w:t>见表20.</w:t>
      </w:r>
    </w:p>
    <w:p>
      <w:pPr>
        <w:spacing w:line="360" w:lineRule="auto"/>
        <w:ind w:firstLine="1320" w:firstLineChars="600"/>
        <w:rPr>
          <w:rFonts w:asciiTheme="minorEastAsia" w:hAnsiTheme="minorEastAsia" w:eastAsiaTheme="minorEastAsia"/>
        </w:rPr>
      </w:pPr>
      <w:r>
        <w:rPr>
          <w:rFonts w:hint="eastAsia" w:asciiTheme="minorEastAsia" w:hAnsiTheme="minorEastAsia" w:eastAsiaTheme="minorEastAsia"/>
        </w:rPr>
        <w:t>表20   调查对象相关卫生及慢性病知识知晓率情况</w:t>
      </w:r>
    </w:p>
    <w:tbl>
      <w:tblPr>
        <w:tblStyle w:val="11"/>
        <w:tblW w:w="8400" w:type="dxa"/>
        <w:tblInd w:w="94" w:type="dxa"/>
        <w:tblLayout w:type="fixed"/>
        <w:tblCellMar>
          <w:top w:w="0" w:type="dxa"/>
          <w:left w:w="108" w:type="dxa"/>
          <w:bottom w:w="0" w:type="dxa"/>
          <w:right w:w="108" w:type="dxa"/>
        </w:tblCellMar>
      </w:tblPr>
      <w:tblGrid>
        <w:gridCol w:w="1931"/>
        <w:gridCol w:w="838"/>
        <w:gridCol w:w="864"/>
        <w:gridCol w:w="577"/>
        <w:gridCol w:w="864"/>
        <w:gridCol w:w="861"/>
        <w:gridCol w:w="938"/>
        <w:gridCol w:w="663"/>
        <w:gridCol w:w="864"/>
      </w:tblGrid>
      <w:tr>
        <w:tblPrEx>
          <w:tblCellMar>
            <w:top w:w="0" w:type="dxa"/>
            <w:left w:w="108" w:type="dxa"/>
            <w:bottom w:w="0" w:type="dxa"/>
            <w:right w:w="108" w:type="dxa"/>
          </w:tblCellMar>
        </w:tblPrEx>
        <w:trPr>
          <w:trHeight w:val="465" w:hRule="atLeast"/>
        </w:trPr>
        <w:tc>
          <w:tcPr>
            <w:tcW w:w="1931" w:type="dxa"/>
            <w:vMerge w:val="restart"/>
            <w:tcBorders>
              <w:top w:val="single" w:color="auto" w:sz="8" w:space="0"/>
              <w:left w:val="nil"/>
              <w:bottom w:val="single" w:color="000000"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相关知识</w:t>
            </w:r>
          </w:p>
        </w:tc>
        <w:tc>
          <w:tcPr>
            <w:tcW w:w="1702" w:type="dxa"/>
            <w:gridSpan w:val="2"/>
            <w:tcBorders>
              <w:top w:val="single" w:color="auto" w:sz="8" w:space="0"/>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男性</w:t>
            </w:r>
          </w:p>
        </w:tc>
        <w:tc>
          <w:tcPr>
            <w:tcW w:w="577" w:type="dxa"/>
            <w:tcBorders>
              <w:top w:val="single" w:color="auto" w:sz="8" w:space="0"/>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p>
        </w:tc>
        <w:tc>
          <w:tcPr>
            <w:tcW w:w="1725" w:type="dxa"/>
            <w:gridSpan w:val="2"/>
            <w:tcBorders>
              <w:top w:val="single" w:color="auto" w:sz="8" w:space="0"/>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女性</w:t>
            </w:r>
          </w:p>
        </w:tc>
        <w:tc>
          <w:tcPr>
            <w:tcW w:w="938" w:type="dxa"/>
            <w:tcBorders>
              <w:top w:val="single" w:color="auto" w:sz="8" w:space="0"/>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p>
        </w:tc>
        <w:tc>
          <w:tcPr>
            <w:tcW w:w="1527" w:type="dxa"/>
            <w:gridSpan w:val="2"/>
            <w:tcBorders>
              <w:top w:val="single" w:color="auto" w:sz="8" w:space="0"/>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合计</w:t>
            </w:r>
          </w:p>
        </w:tc>
      </w:tr>
      <w:tr>
        <w:tblPrEx>
          <w:tblCellMar>
            <w:top w:w="0" w:type="dxa"/>
            <w:left w:w="108" w:type="dxa"/>
            <w:bottom w:w="0" w:type="dxa"/>
            <w:right w:w="108" w:type="dxa"/>
          </w:tblCellMar>
        </w:tblPrEx>
        <w:trPr>
          <w:trHeight w:val="510" w:hRule="atLeast"/>
        </w:trPr>
        <w:tc>
          <w:tcPr>
            <w:tcW w:w="1931" w:type="dxa"/>
            <w:vMerge w:val="continue"/>
            <w:tcBorders>
              <w:top w:val="single" w:color="auto" w:sz="8" w:space="0"/>
              <w:left w:val="nil"/>
              <w:bottom w:val="single" w:color="000000" w:sz="8" w:space="0"/>
              <w:right w:val="nil"/>
            </w:tcBorders>
            <w:vAlign w:val="center"/>
          </w:tcPr>
          <w:p>
            <w:pPr>
              <w:adjustRightInd/>
              <w:snapToGrid/>
              <w:spacing w:after="0" w:line="360" w:lineRule="auto"/>
              <w:jc w:val="center"/>
              <w:rPr>
                <w:rFonts w:ascii="宋体" w:hAnsi="宋体" w:eastAsia="宋体" w:cs="宋体"/>
                <w:sz w:val="21"/>
                <w:szCs w:val="21"/>
              </w:rPr>
            </w:pPr>
          </w:p>
        </w:tc>
        <w:tc>
          <w:tcPr>
            <w:tcW w:w="838" w:type="dxa"/>
            <w:tcBorders>
              <w:top w:val="nil"/>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例数</w:t>
            </w:r>
          </w:p>
        </w:tc>
        <w:tc>
          <w:tcPr>
            <w:tcW w:w="864" w:type="dxa"/>
            <w:tcBorders>
              <w:top w:val="nil"/>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知晓率（%）</w:t>
            </w:r>
          </w:p>
        </w:tc>
        <w:tc>
          <w:tcPr>
            <w:tcW w:w="577" w:type="dxa"/>
            <w:tcBorders>
              <w:top w:val="nil"/>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p>
        </w:tc>
        <w:tc>
          <w:tcPr>
            <w:tcW w:w="864" w:type="dxa"/>
            <w:tcBorders>
              <w:top w:val="nil"/>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例数</w:t>
            </w:r>
          </w:p>
        </w:tc>
        <w:tc>
          <w:tcPr>
            <w:tcW w:w="861" w:type="dxa"/>
            <w:tcBorders>
              <w:top w:val="nil"/>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知晓率（%）</w:t>
            </w:r>
          </w:p>
        </w:tc>
        <w:tc>
          <w:tcPr>
            <w:tcW w:w="938" w:type="dxa"/>
            <w:tcBorders>
              <w:top w:val="nil"/>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p>
        </w:tc>
        <w:tc>
          <w:tcPr>
            <w:tcW w:w="663" w:type="dxa"/>
            <w:tcBorders>
              <w:top w:val="nil"/>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例数</w:t>
            </w:r>
          </w:p>
        </w:tc>
        <w:tc>
          <w:tcPr>
            <w:tcW w:w="864" w:type="dxa"/>
            <w:tcBorders>
              <w:top w:val="nil"/>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知晓率（%）</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每日食盐摄入量</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114</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81.43</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327</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75.87</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441</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77.23</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114</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81.43</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每天6000步以上</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70</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50.00</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217</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50.35</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287</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50.26</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70</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50.00</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食品营养标签</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92</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65.71</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302</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70.07</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394</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69.00</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92</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65.71</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自身体重值</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136</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97.14</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415</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96.29</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551</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96.50</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136</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97.14</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自身腰围值</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109</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77.86</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335</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77.73</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444</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77.76</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109</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77.86</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自身血压值</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121</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86.43</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282</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65.43</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403</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70.58</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121</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86.43</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自身血糖值</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113</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80.71</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342</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79.35</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455</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79.68</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113</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80.71</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自身血脂值</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107</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76.43</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309</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71.69</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416</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72.85</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107</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76.43</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孕妇吸烟影响胎儿</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128</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91.43</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398</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92.34</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526</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92.12</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128</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91.43</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高血压相关知识</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66</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47.14</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210</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48.72</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276</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48.34</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66</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47.14</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糖尿病相关知识</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91</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65.00</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294</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68.21</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385</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67.43</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91</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65.00</w:t>
            </w:r>
          </w:p>
        </w:tc>
      </w:tr>
      <w:tr>
        <w:tblPrEx>
          <w:tblCellMar>
            <w:top w:w="0" w:type="dxa"/>
            <w:left w:w="108" w:type="dxa"/>
            <w:bottom w:w="0" w:type="dxa"/>
            <w:right w:w="108" w:type="dxa"/>
          </w:tblCellMar>
        </w:tblPrEx>
        <w:trPr>
          <w:trHeight w:val="402" w:hRule="atLeast"/>
        </w:trPr>
        <w:tc>
          <w:tcPr>
            <w:tcW w:w="1931" w:type="dxa"/>
            <w:tcBorders>
              <w:top w:val="nil"/>
              <w:left w:val="nil"/>
              <w:bottom w:val="nil"/>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肥胖易患糖尿病</w:t>
            </w:r>
          </w:p>
        </w:tc>
        <w:tc>
          <w:tcPr>
            <w:tcW w:w="8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133</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95.00</w:t>
            </w:r>
          </w:p>
        </w:tc>
        <w:tc>
          <w:tcPr>
            <w:tcW w:w="577"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420</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97.45</w:t>
            </w:r>
          </w:p>
        </w:tc>
        <w:tc>
          <w:tcPr>
            <w:tcW w:w="861"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553</w:t>
            </w:r>
          </w:p>
        </w:tc>
        <w:tc>
          <w:tcPr>
            <w:tcW w:w="938"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96.85</w:t>
            </w:r>
          </w:p>
        </w:tc>
        <w:tc>
          <w:tcPr>
            <w:tcW w:w="663"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133</w:t>
            </w:r>
          </w:p>
        </w:tc>
        <w:tc>
          <w:tcPr>
            <w:tcW w:w="864" w:type="dxa"/>
            <w:tcBorders>
              <w:top w:val="nil"/>
              <w:left w:val="nil"/>
              <w:bottom w:val="nil"/>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95.00</w:t>
            </w:r>
          </w:p>
        </w:tc>
      </w:tr>
      <w:tr>
        <w:tblPrEx>
          <w:tblCellMar>
            <w:top w:w="0" w:type="dxa"/>
            <w:left w:w="108" w:type="dxa"/>
            <w:bottom w:w="0" w:type="dxa"/>
            <w:right w:w="108" w:type="dxa"/>
          </w:tblCellMar>
        </w:tblPrEx>
        <w:trPr>
          <w:trHeight w:val="402" w:hRule="atLeast"/>
        </w:trPr>
        <w:tc>
          <w:tcPr>
            <w:tcW w:w="1931" w:type="dxa"/>
            <w:tcBorders>
              <w:top w:val="nil"/>
              <w:left w:val="nil"/>
              <w:bottom w:val="single" w:color="auto" w:sz="8" w:space="0"/>
              <w:right w:val="nil"/>
            </w:tcBorders>
            <w:shd w:val="clear" w:color="auto" w:fill="auto"/>
            <w:vAlign w:val="center"/>
          </w:tcPr>
          <w:p>
            <w:pPr>
              <w:adjustRightInd/>
              <w:snapToGrid/>
              <w:spacing w:after="0" w:line="360" w:lineRule="auto"/>
              <w:jc w:val="center"/>
              <w:rPr>
                <w:rFonts w:ascii="宋体" w:hAnsi="宋体" w:eastAsia="宋体" w:cs="宋体"/>
                <w:sz w:val="21"/>
                <w:szCs w:val="21"/>
              </w:rPr>
            </w:pPr>
            <w:r>
              <w:rPr>
                <w:rFonts w:hint="eastAsia" w:ascii="宋体" w:hAnsi="宋体" w:eastAsia="宋体" w:cs="宋体"/>
                <w:sz w:val="21"/>
                <w:szCs w:val="21"/>
              </w:rPr>
              <w:t>高血压易致脑卒中</w:t>
            </w:r>
          </w:p>
        </w:tc>
        <w:tc>
          <w:tcPr>
            <w:tcW w:w="838" w:type="dxa"/>
            <w:tcBorders>
              <w:top w:val="nil"/>
              <w:left w:val="nil"/>
              <w:bottom w:val="single" w:color="auto" w:sz="8" w:space="0"/>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129</w:t>
            </w:r>
          </w:p>
        </w:tc>
        <w:tc>
          <w:tcPr>
            <w:tcW w:w="864" w:type="dxa"/>
            <w:tcBorders>
              <w:top w:val="nil"/>
              <w:left w:val="nil"/>
              <w:bottom w:val="single" w:color="auto" w:sz="8" w:space="0"/>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92.14</w:t>
            </w:r>
          </w:p>
        </w:tc>
        <w:tc>
          <w:tcPr>
            <w:tcW w:w="577" w:type="dxa"/>
            <w:tcBorders>
              <w:top w:val="nil"/>
              <w:left w:val="nil"/>
              <w:bottom w:val="single" w:color="auto" w:sz="8" w:space="0"/>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409</w:t>
            </w:r>
          </w:p>
        </w:tc>
        <w:tc>
          <w:tcPr>
            <w:tcW w:w="864" w:type="dxa"/>
            <w:tcBorders>
              <w:top w:val="nil"/>
              <w:left w:val="nil"/>
              <w:bottom w:val="single" w:color="auto" w:sz="8" w:space="0"/>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94.90</w:t>
            </w:r>
          </w:p>
        </w:tc>
        <w:tc>
          <w:tcPr>
            <w:tcW w:w="861" w:type="dxa"/>
            <w:tcBorders>
              <w:top w:val="nil"/>
              <w:left w:val="nil"/>
              <w:bottom w:val="single" w:color="auto" w:sz="8" w:space="0"/>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538</w:t>
            </w:r>
          </w:p>
        </w:tc>
        <w:tc>
          <w:tcPr>
            <w:tcW w:w="938" w:type="dxa"/>
            <w:tcBorders>
              <w:top w:val="nil"/>
              <w:left w:val="nil"/>
              <w:bottom w:val="single" w:color="auto" w:sz="8" w:space="0"/>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94.22</w:t>
            </w:r>
          </w:p>
        </w:tc>
        <w:tc>
          <w:tcPr>
            <w:tcW w:w="663" w:type="dxa"/>
            <w:tcBorders>
              <w:top w:val="nil"/>
              <w:left w:val="nil"/>
              <w:bottom w:val="single" w:color="auto" w:sz="8" w:space="0"/>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129</w:t>
            </w:r>
          </w:p>
        </w:tc>
        <w:tc>
          <w:tcPr>
            <w:tcW w:w="864" w:type="dxa"/>
            <w:tcBorders>
              <w:top w:val="nil"/>
              <w:left w:val="nil"/>
              <w:bottom w:val="single" w:color="auto" w:sz="8" w:space="0"/>
              <w:right w:val="nil"/>
            </w:tcBorders>
            <w:shd w:val="clear" w:color="auto" w:fill="auto"/>
            <w:vAlign w:val="center"/>
          </w:tcPr>
          <w:p>
            <w:pPr>
              <w:spacing w:line="360" w:lineRule="auto"/>
              <w:jc w:val="center"/>
              <w:rPr>
                <w:rFonts w:ascii="宋体" w:hAnsi="宋体" w:eastAsia="宋体" w:cs="宋体"/>
              </w:rPr>
            </w:pPr>
            <w:r>
              <w:rPr>
                <w:rFonts w:hint="eastAsia" w:ascii="宋体" w:hAnsi="宋体" w:eastAsia="宋体" w:cs="宋体"/>
              </w:rPr>
              <w:t>92.14</w:t>
            </w:r>
          </w:p>
        </w:tc>
      </w:tr>
      <w:bookmarkEnd w:id="23"/>
    </w:tbl>
    <w:p>
      <w:pPr>
        <w:spacing w:line="360" w:lineRule="auto"/>
        <w:rPr>
          <w:rFonts w:hAnsi="宋体"/>
          <w:sz w:val="24"/>
        </w:rPr>
      </w:pPr>
    </w:p>
    <w:p>
      <w:pPr>
        <w:spacing w:line="360" w:lineRule="auto"/>
        <w:rPr>
          <w:rFonts w:asciiTheme="minorEastAsia" w:hAnsiTheme="minorEastAsia" w:eastAsiaTheme="minorEastAsia"/>
          <w:b/>
          <w:sz w:val="32"/>
          <w:szCs w:val="32"/>
        </w:rPr>
      </w:pPr>
      <w:r>
        <w:rPr>
          <w:rFonts w:asciiTheme="minorEastAsia" w:hAnsiTheme="minorEastAsia" w:eastAsiaTheme="minorEastAsia"/>
          <w:b/>
          <w:sz w:val="32"/>
          <w:szCs w:val="32"/>
        </w:rPr>
        <w:t>（</w:t>
      </w:r>
      <w:r>
        <w:rPr>
          <w:rFonts w:hint="eastAsia" w:asciiTheme="minorEastAsia" w:hAnsiTheme="minorEastAsia" w:eastAsiaTheme="minorEastAsia"/>
          <w:b/>
          <w:sz w:val="32"/>
          <w:szCs w:val="32"/>
        </w:rPr>
        <w:t>六</w:t>
      </w:r>
      <w:r>
        <w:rPr>
          <w:rFonts w:asciiTheme="minorEastAsia" w:hAnsiTheme="minorEastAsia" w:eastAsiaTheme="minorEastAsia"/>
          <w:b/>
          <w:sz w:val="32"/>
          <w:szCs w:val="32"/>
        </w:rPr>
        <w:t>）</w:t>
      </w:r>
      <w:r>
        <w:rPr>
          <w:rFonts w:hint="eastAsia" w:asciiTheme="minorEastAsia" w:hAnsiTheme="minorEastAsia" w:eastAsiaTheme="minorEastAsia"/>
          <w:b/>
          <w:sz w:val="32"/>
          <w:szCs w:val="32"/>
        </w:rPr>
        <w:t>就诊及诊疗费用情况</w:t>
      </w:r>
    </w:p>
    <w:p>
      <w:pPr>
        <w:pStyle w:val="2"/>
        <w:snapToGrid w:val="0"/>
        <w:spacing w:line="360" w:lineRule="auto"/>
        <w:ind w:left="0" w:firstLine="281" w:firstLineChars="100"/>
        <w:rPr>
          <w:rFonts w:asciiTheme="minorEastAsia" w:hAnsiTheme="minorEastAsia" w:eastAsiaTheme="minorEastAsia"/>
          <w:b w:val="0"/>
          <w:sz w:val="28"/>
          <w:szCs w:val="28"/>
        </w:rPr>
      </w:pPr>
      <w:r>
        <w:rPr>
          <w:rFonts w:asciiTheme="minorEastAsia" w:hAnsiTheme="minorEastAsia" w:eastAsiaTheme="minorEastAsia"/>
          <w:sz w:val="28"/>
          <w:szCs w:val="28"/>
        </w:rPr>
        <w:t>1、医疗保障</w:t>
      </w:r>
    </w:p>
    <w:p>
      <w:pPr>
        <w:spacing w:beforeLines="50" w:afterLines="50" w:line="360" w:lineRule="auto"/>
        <w:ind w:firstLine="480" w:firstLineChars="200"/>
        <w:rPr>
          <w:rFonts w:cs="Times New Roman" w:asciiTheme="minorEastAsia" w:hAnsiTheme="minorEastAsia" w:eastAsiaTheme="minorEastAsia"/>
          <w:sz w:val="24"/>
          <w:szCs w:val="24"/>
        </w:rPr>
      </w:pPr>
      <w:r>
        <w:rPr>
          <w:rFonts w:hint="eastAsia" w:cs="Times New Roman" w:asciiTheme="minorEastAsia" w:hAnsiTheme="minorEastAsia" w:eastAsiaTheme="minorEastAsia"/>
          <w:sz w:val="24"/>
          <w:szCs w:val="24"/>
        </w:rPr>
        <w:t>1288名对象享有的主要社区医疗保障是城乡居民基本医疗保险，占38.74%，其次是城镇职工基本医疗保险38.59%，0.47%享有公费医疗，0.47%享有商业医疗保险，3.11%的调查对象没有享有医疗保障。见表21.</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表21   调查对象享有的主要社会医疗保障构成比</w:t>
      </w:r>
      <w:r>
        <w:rPr>
          <w:rFonts w:hint="eastAsia" w:asciiTheme="minorEastAsia" w:hAnsiTheme="minorEastAsia" w:eastAsiaTheme="minorEastAsia"/>
        </w:rPr>
        <w:t>(%)</w:t>
      </w:r>
    </w:p>
    <w:tbl>
      <w:tblPr>
        <w:tblStyle w:val="11"/>
        <w:tblW w:w="8520" w:type="dxa"/>
        <w:jc w:val="center"/>
        <w:tblLayout w:type="fixed"/>
        <w:tblCellMar>
          <w:top w:w="0" w:type="dxa"/>
          <w:left w:w="108" w:type="dxa"/>
          <w:bottom w:w="0" w:type="dxa"/>
          <w:right w:w="108" w:type="dxa"/>
        </w:tblCellMar>
      </w:tblPr>
      <w:tblGrid>
        <w:gridCol w:w="1988"/>
        <w:gridCol w:w="1017"/>
        <w:gridCol w:w="1021"/>
        <w:gridCol w:w="236"/>
        <w:gridCol w:w="1021"/>
        <w:gridCol w:w="1022"/>
        <w:gridCol w:w="236"/>
        <w:gridCol w:w="987"/>
        <w:gridCol w:w="992"/>
      </w:tblGrid>
      <w:tr>
        <w:tblPrEx>
          <w:tblCellMar>
            <w:top w:w="0" w:type="dxa"/>
            <w:left w:w="108" w:type="dxa"/>
            <w:bottom w:w="0" w:type="dxa"/>
            <w:right w:w="108" w:type="dxa"/>
          </w:tblCellMar>
        </w:tblPrEx>
        <w:trPr>
          <w:trHeight w:val="292" w:hRule="atLeast"/>
          <w:jc w:val="center"/>
        </w:trPr>
        <w:tc>
          <w:tcPr>
            <w:tcW w:w="1988" w:type="dxa"/>
            <w:vMerge w:val="restart"/>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主要社会医疗保障</w:t>
            </w:r>
          </w:p>
        </w:tc>
        <w:tc>
          <w:tcPr>
            <w:tcW w:w="2038"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36"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2043"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236"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979"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277" w:hRule="atLeast"/>
          <w:jc w:val="center"/>
        </w:trPr>
        <w:tc>
          <w:tcPr>
            <w:tcW w:w="1988" w:type="dxa"/>
            <w:vMerge w:val="continue"/>
            <w:tcBorders>
              <w:top w:val="single" w:color="008000" w:sz="12"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01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02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36"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02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02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36"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98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99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r>
      <w:tr>
        <w:tblPrEx>
          <w:tblCellMar>
            <w:top w:w="0" w:type="dxa"/>
            <w:left w:w="108" w:type="dxa"/>
            <w:bottom w:w="0" w:type="dxa"/>
            <w:right w:w="108" w:type="dxa"/>
          </w:tblCellMar>
        </w:tblPrEx>
        <w:trPr>
          <w:trHeight w:val="90" w:hRule="atLeast"/>
          <w:jc w:val="center"/>
        </w:trPr>
        <w:tc>
          <w:tcPr>
            <w:tcW w:w="1988"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没有</w:t>
            </w:r>
          </w:p>
        </w:tc>
        <w:tc>
          <w:tcPr>
            <w:tcW w:w="1017" w:type="dxa"/>
            <w:tcBorders>
              <w:top w:val="single" w:color="auto" w:sz="4" w:space="0"/>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23</w:t>
            </w:r>
          </w:p>
        </w:tc>
        <w:tc>
          <w:tcPr>
            <w:tcW w:w="1021"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4.14</w:t>
            </w:r>
          </w:p>
        </w:tc>
        <w:tc>
          <w:tcPr>
            <w:tcW w:w="236"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021" w:type="dxa"/>
            <w:tcBorders>
              <w:top w:val="single" w:color="auto" w:sz="4" w:space="0"/>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w:t>
            </w:r>
          </w:p>
        </w:tc>
        <w:tc>
          <w:tcPr>
            <w:tcW w:w="1022"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2.32</w:t>
            </w:r>
          </w:p>
        </w:tc>
        <w:tc>
          <w:tcPr>
            <w:tcW w:w="236"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987" w:type="dxa"/>
            <w:tcBorders>
              <w:top w:val="single" w:color="auto" w:sz="4" w:space="0"/>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40</w:t>
            </w:r>
          </w:p>
        </w:tc>
        <w:tc>
          <w:tcPr>
            <w:tcW w:w="992"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3.11</w:t>
            </w:r>
          </w:p>
        </w:tc>
      </w:tr>
      <w:tr>
        <w:tblPrEx>
          <w:tblCellMar>
            <w:top w:w="0" w:type="dxa"/>
            <w:left w:w="108" w:type="dxa"/>
            <w:bottom w:w="0" w:type="dxa"/>
            <w:right w:w="108" w:type="dxa"/>
          </w:tblCellMar>
        </w:tblPrEx>
        <w:trPr>
          <w:trHeight w:val="277" w:hRule="atLeast"/>
          <w:jc w:val="center"/>
        </w:trPr>
        <w:tc>
          <w:tcPr>
            <w:tcW w:w="198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城镇职工基本医疗保险</w:t>
            </w:r>
          </w:p>
        </w:tc>
        <w:tc>
          <w:tcPr>
            <w:tcW w:w="101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214</w:t>
            </w:r>
          </w:p>
        </w:tc>
        <w:tc>
          <w:tcPr>
            <w:tcW w:w="1021"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38.56</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021"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283</w:t>
            </w:r>
          </w:p>
        </w:tc>
        <w:tc>
          <w:tcPr>
            <w:tcW w:w="10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38.61</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98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497</w:t>
            </w:r>
          </w:p>
        </w:tc>
        <w:tc>
          <w:tcPr>
            <w:tcW w:w="99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38.59</w:t>
            </w:r>
          </w:p>
        </w:tc>
      </w:tr>
      <w:tr>
        <w:tblPrEx>
          <w:tblCellMar>
            <w:top w:w="0" w:type="dxa"/>
            <w:left w:w="108" w:type="dxa"/>
            <w:bottom w:w="0" w:type="dxa"/>
            <w:right w:w="108" w:type="dxa"/>
          </w:tblCellMar>
        </w:tblPrEx>
        <w:trPr>
          <w:trHeight w:val="277" w:hRule="atLeast"/>
          <w:jc w:val="center"/>
        </w:trPr>
        <w:tc>
          <w:tcPr>
            <w:tcW w:w="198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城乡居民基本医疗保险</w:t>
            </w:r>
          </w:p>
        </w:tc>
        <w:tc>
          <w:tcPr>
            <w:tcW w:w="101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216</w:t>
            </w:r>
          </w:p>
        </w:tc>
        <w:tc>
          <w:tcPr>
            <w:tcW w:w="1021"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38.92</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021"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283</w:t>
            </w:r>
          </w:p>
        </w:tc>
        <w:tc>
          <w:tcPr>
            <w:tcW w:w="10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38.61</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98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499</w:t>
            </w:r>
          </w:p>
        </w:tc>
        <w:tc>
          <w:tcPr>
            <w:tcW w:w="992" w:type="dxa"/>
            <w:tcBorders>
              <w:top w:val="nil"/>
              <w:left w:val="nil"/>
              <w:bottom w:val="nil"/>
              <w:right w:val="nil"/>
            </w:tcBorders>
            <w:vAlign w:val="center"/>
          </w:tcPr>
          <w:p>
            <w:pPr>
              <w:spacing w:line="360" w:lineRule="auto"/>
              <w:jc w:val="center"/>
              <w:rPr>
                <w:rFonts w:cs="Arial" w:asciiTheme="minorEastAsia" w:hAnsiTheme="minorEastAsia" w:eastAsiaTheme="minorEastAsia"/>
                <w:b/>
                <w:color w:val="000000"/>
                <w:sz w:val="21"/>
                <w:szCs w:val="21"/>
              </w:rPr>
            </w:pPr>
            <w:r>
              <w:rPr>
                <w:rFonts w:cs="Arial" w:asciiTheme="minorEastAsia" w:hAnsiTheme="minorEastAsia" w:eastAsiaTheme="minorEastAsia"/>
                <w:b/>
                <w:color w:val="000000"/>
                <w:sz w:val="21"/>
                <w:szCs w:val="21"/>
              </w:rPr>
              <w:t>38.74</w:t>
            </w:r>
          </w:p>
        </w:tc>
      </w:tr>
      <w:tr>
        <w:tblPrEx>
          <w:tblCellMar>
            <w:top w:w="0" w:type="dxa"/>
            <w:left w:w="108" w:type="dxa"/>
            <w:bottom w:w="0" w:type="dxa"/>
            <w:right w:w="108" w:type="dxa"/>
          </w:tblCellMar>
        </w:tblPrEx>
        <w:trPr>
          <w:trHeight w:val="277" w:hRule="atLeast"/>
          <w:jc w:val="center"/>
        </w:trPr>
        <w:tc>
          <w:tcPr>
            <w:tcW w:w="198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商业医疗保险</w:t>
            </w:r>
          </w:p>
        </w:tc>
        <w:tc>
          <w:tcPr>
            <w:tcW w:w="101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1021"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0.54</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021"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10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0.41</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98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w:t>
            </w:r>
          </w:p>
        </w:tc>
        <w:tc>
          <w:tcPr>
            <w:tcW w:w="99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0.47</w:t>
            </w:r>
          </w:p>
        </w:tc>
      </w:tr>
      <w:tr>
        <w:tblPrEx>
          <w:tblCellMar>
            <w:top w:w="0" w:type="dxa"/>
            <w:left w:w="108" w:type="dxa"/>
            <w:bottom w:w="0" w:type="dxa"/>
            <w:right w:w="108" w:type="dxa"/>
          </w:tblCellMar>
        </w:tblPrEx>
        <w:trPr>
          <w:trHeight w:val="277" w:hRule="atLeast"/>
          <w:jc w:val="center"/>
        </w:trPr>
        <w:tc>
          <w:tcPr>
            <w:tcW w:w="1988"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公费医疗</w:t>
            </w:r>
          </w:p>
        </w:tc>
        <w:tc>
          <w:tcPr>
            <w:tcW w:w="101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w:t>
            </w:r>
          </w:p>
        </w:tc>
        <w:tc>
          <w:tcPr>
            <w:tcW w:w="1021"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0.72</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021"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w:t>
            </w:r>
          </w:p>
        </w:tc>
        <w:tc>
          <w:tcPr>
            <w:tcW w:w="102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0.27</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98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w:t>
            </w:r>
          </w:p>
        </w:tc>
        <w:tc>
          <w:tcPr>
            <w:tcW w:w="99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0.47</w:t>
            </w:r>
          </w:p>
        </w:tc>
      </w:tr>
      <w:tr>
        <w:tblPrEx>
          <w:tblCellMar>
            <w:top w:w="0" w:type="dxa"/>
            <w:left w:w="108" w:type="dxa"/>
            <w:bottom w:w="0" w:type="dxa"/>
            <w:right w:w="108" w:type="dxa"/>
          </w:tblCellMar>
        </w:tblPrEx>
        <w:trPr>
          <w:trHeight w:val="277" w:hRule="atLeast"/>
          <w:jc w:val="center"/>
        </w:trPr>
        <w:tc>
          <w:tcPr>
            <w:tcW w:w="1988" w:type="dxa"/>
            <w:tcBorders>
              <w:top w:val="nil"/>
              <w:left w:val="nil"/>
              <w:bottom w:val="single" w:color="auto" w:sz="4"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其他形式</w:t>
            </w:r>
          </w:p>
        </w:tc>
        <w:tc>
          <w:tcPr>
            <w:tcW w:w="1017" w:type="dxa"/>
            <w:tcBorders>
              <w:top w:val="nil"/>
              <w:left w:val="nil"/>
              <w:bottom w:val="single" w:color="auto" w:sz="4"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95</w:t>
            </w:r>
          </w:p>
        </w:tc>
        <w:tc>
          <w:tcPr>
            <w:tcW w:w="1021"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17.12</w:t>
            </w:r>
          </w:p>
        </w:tc>
        <w:tc>
          <w:tcPr>
            <w:tcW w:w="236"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sz w:val="21"/>
                <w:szCs w:val="21"/>
              </w:rPr>
            </w:pPr>
          </w:p>
        </w:tc>
        <w:tc>
          <w:tcPr>
            <w:tcW w:w="1021" w:type="dxa"/>
            <w:tcBorders>
              <w:top w:val="nil"/>
              <w:left w:val="nil"/>
              <w:bottom w:val="single" w:color="auto" w:sz="4"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145</w:t>
            </w:r>
          </w:p>
        </w:tc>
        <w:tc>
          <w:tcPr>
            <w:tcW w:w="1022"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19.78</w:t>
            </w:r>
          </w:p>
        </w:tc>
        <w:tc>
          <w:tcPr>
            <w:tcW w:w="236"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sz w:val="21"/>
                <w:szCs w:val="21"/>
              </w:rPr>
            </w:pPr>
          </w:p>
        </w:tc>
        <w:tc>
          <w:tcPr>
            <w:tcW w:w="987" w:type="dxa"/>
            <w:tcBorders>
              <w:top w:val="nil"/>
              <w:left w:val="nil"/>
              <w:bottom w:val="single" w:color="auto" w:sz="4"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240</w:t>
            </w:r>
          </w:p>
        </w:tc>
        <w:tc>
          <w:tcPr>
            <w:tcW w:w="992"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18.63</w:t>
            </w:r>
          </w:p>
        </w:tc>
      </w:tr>
      <w:tr>
        <w:tblPrEx>
          <w:tblCellMar>
            <w:top w:w="0" w:type="dxa"/>
            <w:left w:w="108" w:type="dxa"/>
            <w:bottom w:w="0" w:type="dxa"/>
            <w:right w:w="108" w:type="dxa"/>
          </w:tblCellMar>
        </w:tblPrEx>
        <w:trPr>
          <w:trHeight w:val="292" w:hRule="atLeast"/>
          <w:jc w:val="center"/>
        </w:trPr>
        <w:tc>
          <w:tcPr>
            <w:tcW w:w="1988" w:type="dxa"/>
            <w:tcBorders>
              <w:top w:val="single" w:color="auto" w:sz="4"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1017" w:type="dxa"/>
            <w:tcBorders>
              <w:top w:val="single" w:color="auto" w:sz="4" w:space="0"/>
              <w:left w:val="nil"/>
              <w:bottom w:val="single" w:color="auto" w:sz="8"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555</w:t>
            </w:r>
          </w:p>
        </w:tc>
        <w:tc>
          <w:tcPr>
            <w:tcW w:w="1021" w:type="dxa"/>
            <w:tcBorders>
              <w:top w:val="single" w:color="auto" w:sz="4" w:space="0"/>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36" w:type="dxa"/>
            <w:tcBorders>
              <w:top w:val="single" w:color="auto" w:sz="4" w:space="0"/>
              <w:left w:val="nil"/>
              <w:bottom w:val="single" w:color="auto" w:sz="8" w:space="0"/>
              <w:right w:val="nil"/>
            </w:tcBorders>
            <w:vAlign w:val="center"/>
          </w:tcPr>
          <w:p>
            <w:pPr>
              <w:spacing w:line="360" w:lineRule="auto"/>
              <w:jc w:val="center"/>
              <w:rPr>
                <w:rFonts w:cs="Arial" w:asciiTheme="minorEastAsia" w:hAnsiTheme="minorEastAsia" w:eastAsiaTheme="minorEastAsia"/>
                <w:sz w:val="21"/>
                <w:szCs w:val="21"/>
              </w:rPr>
            </w:pPr>
          </w:p>
        </w:tc>
        <w:tc>
          <w:tcPr>
            <w:tcW w:w="1021" w:type="dxa"/>
            <w:tcBorders>
              <w:top w:val="single" w:color="auto" w:sz="4" w:space="0"/>
              <w:left w:val="nil"/>
              <w:bottom w:val="single" w:color="auto" w:sz="8"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733</w:t>
            </w:r>
          </w:p>
        </w:tc>
        <w:tc>
          <w:tcPr>
            <w:tcW w:w="1022" w:type="dxa"/>
            <w:tcBorders>
              <w:top w:val="single" w:color="auto" w:sz="4" w:space="0"/>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36" w:type="dxa"/>
            <w:tcBorders>
              <w:top w:val="single" w:color="auto" w:sz="4" w:space="0"/>
              <w:left w:val="nil"/>
              <w:bottom w:val="single" w:color="auto" w:sz="8" w:space="0"/>
              <w:right w:val="nil"/>
            </w:tcBorders>
            <w:vAlign w:val="center"/>
          </w:tcPr>
          <w:p>
            <w:pPr>
              <w:spacing w:line="360" w:lineRule="auto"/>
              <w:jc w:val="center"/>
              <w:rPr>
                <w:rFonts w:cs="Arial" w:asciiTheme="minorEastAsia" w:hAnsiTheme="minorEastAsia" w:eastAsiaTheme="minorEastAsia"/>
                <w:sz w:val="21"/>
                <w:szCs w:val="21"/>
              </w:rPr>
            </w:pPr>
          </w:p>
        </w:tc>
        <w:tc>
          <w:tcPr>
            <w:tcW w:w="987" w:type="dxa"/>
            <w:tcBorders>
              <w:top w:val="single" w:color="auto" w:sz="4" w:space="0"/>
              <w:left w:val="nil"/>
              <w:bottom w:val="single" w:color="auto" w:sz="8"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1288</w:t>
            </w:r>
          </w:p>
        </w:tc>
        <w:tc>
          <w:tcPr>
            <w:tcW w:w="992" w:type="dxa"/>
            <w:tcBorders>
              <w:top w:val="single" w:color="auto" w:sz="4" w:space="0"/>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r>
    </w:tbl>
    <w:p>
      <w:pPr>
        <w:pStyle w:val="2"/>
        <w:snapToGrid w:val="0"/>
        <w:spacing w:line="360" w:lineRule="auto"/>
        <w:ind w:left="0" w:firstLine="562" w:firstLineChars="200"/>
        <w:jc w:val="left"/>
        <w:rPr>
          <w:rFonts w:asciiTheme="minorEastAsia" w:hAnsiTheme="minorEastAsia" w:eastAsiaTheme="minorEastAsia"/>
          <w:bCs/>
          <w:sz w:val="28"/>
          <w:szCs w:val="28"/>
        </w:rPr>
      </w:pPr>
      <w:r>
        <w:rPr>
          <w:rFonts w:asciiTheme="minorEastAsia" w:hAnsiTheme="minorEastAsia" w:eastAsiaTheme="minorEastAsia"/>
          <w:sz w:val="28"/>
          <w:szCs w:val="28"/>
        </w:rPr>
        <w:t>2、就诊地点回答</w:t>
      </w:r>
    </w:p>
    <w:p>
      <w:pPr>
        <w:spacing w:beforeLines="50" w:afterLines="50" w:line="360" w:lineRule="auto"/>
        <w:ind w:firstLine="480" w:firstLineChars="200"/>
        <w:rPr>
          <w:rFonts w:cs="Times New Roman" w:asciiTheme="minorEastAsia" w:hAnsiTheme="minorEastAsia" w:eastAsiaTheme="minorEastAsia"/>
          <w:sz w:val="24"/>
          <w:szCs w:val="24"/>
        </w:rPr>
      </w:pPr>
      <w:bookmarkStart w:id="24" w:name="_Toc477619955"/>
      <w:r>
        <w:rPr>
          <w:rFonts w:hint="eastAsia" w:cs="Times New Roman" w:asciiTheme="minorEastAsia" w:hAnsiTheme="minorEastAsia" w:eastAsiaTheme="minorEastAsia"/>
          <w:sz w:val="24"/>
          <w:szCs w:val="24"/>
        </w:rPr>
        <w:t>1288名调查对象通常的就诊地点是乡镇卫生院、街道社区卫生服务中心（42.55%），其次是县（市、区）级医院（34.08%）和社区卫生服务站、村卫生室（7.76%），省市级及以上医院（5.43%），4.97%的调查对象主要就诊地点是私人医院及诊所，5.20%主要就诊医院是其他。</w:t>
      </w:r>
      <w:bookmarkEnd w:id="24"/>
      <w:r>
        <w:rPr>
          <w:rFonts w:hint="eastAsia" w:cs="Times New Roman" w:asciiTheme="minorEastAsia" w:hAnsiTheme="minorEastAsia" w:eastAsiaTheme="minorEastAsia"/>
          <w:sz w:val="24"/>
          <w:szCs w:val="24"/>
        </w:rPr>
        <w:t>见表22.</w:t>
      </w:r>
    </w:p>
    <w:p>
      <w:pPr>
        <w:spacing w:line="360" w:lineRule="auto"/>
        <w:jc w:val="center"/>
        <w:rPr>
          <w:rFonts w:asciiTheme="minorEastAsia" w:hAnsiTheme="minorEastAsia" w:eastAsiaTheme="minorEastAsia"/>
          <w:color w:val="000000"/>
        </w:rPr>
      </w:pPr>
      <w:r>
        <w:rPr>
          <w:rFonts w:hint="eastAsia" w:asciiTheme="minorEastAsia" w:hAnsiTheme="minorEastAsia" w:eastAsiaTheme="minorEastAsia"/>
          <w:color w:val="000000"/>
        </w:rPr>
        <w:t>表22   调查对象通常就诊地点构成比</w:t>
      </w:r>
      <w:r>
        <w:rPr>
          <w:rFonts w:hint="eastAsia" w:asciiTheme="minorEastAsia" w:hAnsiTheme="minorEastAsia" w:eastAsiaTheme="minorEastAsia"/>
        </w:rPr>
        <w:t>(%)</w:t>
      </w:r>
    </w:p>
    <w:tbl>
      <w:tblPr>
        <w:tblStyle w:val="11"/>
        <w:tblW w:w="8522" w:type="dxa"/>
        <w:jc w:val="center"/>
        <w:tblLayout w:type="fixed"/>
        <w:tblCellMar>
          <w:top w:w="0" w:type="dxa"/>
          <w:left w:w="108" w:type="dxa"/>
          <w:bottom w:w="0" w:type="dxa"/>
          <w:right w:w="108" w:type="dxa"/>
        </w:tblCellMar>
      </w:tblPr>
      <w:tblGrid>
        <w:gridCol w:w="3496"/>
        <w:gridCol w:w="718"/>
        <w:gridCol w:w="832"/>
        <w:gridCol w:w="236"/>
        <w:gridCol w:w="649"/>
        <w:gridCol w:w="864"/>
        <w:gridCol w:w="236"/>
        <w:gridCol w:w="663"/>
        <w:gridCol w:w="828"/>
      </w:tblGrid>
      <w:tr>
        <w:tblPrEx>
          <w:tblCellMar>
            <w:top w:w="0" w:type="dxa"/>
            <w:left w:w="108" w:type="dxa"/>
            <w:bottom w:w="0" w:type="dxa"/>
            <w:right w:w="108" w:type="dxa"/>
          </w:tblCellMar>
        </w:tblPrEx>
        <w:trPr>
          <w:trHeight w:val="292" w:hRule="atLeast"/>
          <w:jc w:val="center"/>
        </w:trPr>
        <w:tc>
          <w:tcPr>
            <w:tcW w:w="3496" w:type="dxa"/>
            <w:vMerge w:val="restart"/>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就诊地点</w:t>
            </w:r>
          </w:p>
        </w:tc>
        <w:tc>
          <w:tcPr>
            <w:tcW w:w="1550"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36"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513"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236"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491"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277" w:hRule="atLeast"/>
          <w:jc w:val="center"/>
        </w:trPr>
        <w:tc>
          <w:tcPr>
            <w:tcW w:w="3496" w:type="dxa"/>
            <w:vMerge w:val="continue"/>
            <w:tcBorders>
              <w:top w:val="single" w:color="008000" w:sz="12"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718"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83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36"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649"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864"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36"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663"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828"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r>
      <w:tr>
        <w:tblPrEx>
          <w:tblCellMar>
            <w:top w:w="0" w:type="dxa"/>
            <w:left w:w="108" w:type="dxa"/>
            <w:bottom w:w="0" w:type="dxa"/>
            <w:right w:w="108" w:type="dxa"/>
          </w:tblCellMar>
        </w:tblPrEx>
        <w:trPr>
          <w:trHeight w:val="90" w:hRule="atLeast"/>
          <w:jc w:val="center"/>
        </w:trPr>
        <w:tc>
          <w:tcPr>
            <w:tcW w:w="3496"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省市级及以上医院</w:t>
            </w:r>
          </w:p>
        </w:tc>
        <w:tc>
          <w:tcPr>
            <w:tcW w:w="718" w:type="dxa"/>
            <w:tcBorders>
              <w:top w:val="single" w:color="auto" w:sz="4" w:space="0"/>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36</w:t>
            </w:r>
          </w:p>
        </w:tc>
        <w:tc>
          <w:tcPr>
            <w:tcW w:w="832"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6.49</w:t>
            </w:r>
          </w:p>
        </w:tc>
        <w:tc>
          <w:tcPr>
            <w:tcW w:w="236"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649" w:type="dxa"/>
            <w:tcBorders>
              <w:top w:val="single" w:color="auto" w:sz="4" w:space="0"/>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34</w:t>
            </w:r>
          </w:p>
        </w:tc>
        <w:tc>
          <w:tcPr>
            <w:tcW w:w="864"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4.64</w:t>
            </w:r>
          </w:p>
        </w:tc>
        <w:tc>
          <w:tcPr>
            <w:tcW w:w="236"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663" w:type="dxa"/>
            <w:tcBorders>
              <w:top w:val="single" w:color="auto" w:sz="4" w:space="0"/>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70</w:t>
            </w:r>
          </w:p>
        </w:tc>
        <w:tc>
          <w:tcPr>
            <w:tcW w:w="828"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5.43</w:t>
            </w:r>
          </w:p>
        </w:tc>
      </w:tr>
      <w:tr>
        <w:tblPrEx>
          <w:tblCellMar>
            <w:top w:w="0" w:type="dxa"/>
            <w:left w:w="108" w:type="dxa"/>
            <w:bottom w:w="0" w:type="dxa"/>
            <w:right w:w="108" w:type="dxa"/>
          </w:tblCellMar>
        </w:tblPrEx>
        <w:trPr>
          <w:trHeight w:val="294" w:hRule="atLeast"/>
          <w:jc w:val="center"/>
        </w:trPr>
        <w:tc>
          <w:tcPr>
            <w:tcW w:w="3496"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县（市、区）级医院</w:t>
            </w:r>
          </w:p>
        </w:tc>
        <w:tc>
          <w:tcPr>
            <w:tcW w:w="718"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185</w:t>
            </w:r>
          </w:p>
        </w:tc>
        <w:tc>
          <w:tcPr>
            <w:tcW w:w="83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33.33</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649"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254</w:t>
            </w:r>
          </w:p>
        </w:tc>
        <w:tc>
          <w:tcPr>
            <w:tcW w:w="864"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34.65</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663"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439</w:t>
            </w:r>
          </w:p>
        </w:tc>
        <w:tc>
          <w:tcPr>
            <w:tcW w:w="828"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34.08</w:t>
            </w:r>
          </w:p>
        </w:tc>
      </w:tr>
      <w:tr>
        <w:tblPrEx>
          <w:tblCellMar>
            <w:top w:w="0" w:type="dxa"/>
            <w:left w:w="108" w:type="dxa"/>
            <w:bottom w:w="0" w:type="dxa"/>
            <w:right w:w="108" w:type="dxa"/>
          </w:tblCellMar>
        </w:tblPrEx>
        <w:trPr>
          <w:trHeight w:val="277" w:hRule="atLeast"/>
          <w:jc w:val="center"/>
        </w:trPr>
        <w:tc>
          <w:tcPr>
            <w:tcW w:w="3496"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乡镇卫生院、街道社区卫生服务中心</w:t>
            </w:r>
          </w:p>
        </w:tc>
        <w:tc>
          <w:tcPr>
            <w:tcW w:w="718"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239</w:t>
            </w:r>
          </w:p>
        </w:tc>
        <w:tc>
          <w:tcPr>
            <w:tcW w:w="83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43.06</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649"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309</w:t>
            </w:r>
          </w:p>
        </w:tc>
        <w:tc>
          <w:tcPr>
            <w:tcW w:w="864"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42.16</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663"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548</w:t>
            </w:r>
          </w:p>
        </w:tc>
        <w:tc>
          <w:tcPr>
            <w:tcW w:w="828"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42.55</w:t>
            </w:r>
          </w:p>
        </w:tc>
      </w:tr>
      <w:tr>
        <w:tblPrEx>
          <w:tblCellMar>
            <w:top w:w="0" w:type="dxa"/>
            <w:left w:w="108" w:type="dxa"/>
            <w:bottom w:w="0" w:type="dxa"/>
            <w:right w:w="108" w:type="dxa"/>
          </w:tblCellMar>
        </w:tblPrEx>
        <w:trPr>
          <w:trHeight w:val="277" w:hRule="atLeast"/>
          <w:jc w:val="center"/>
        </w:trPr>
        <w:tc>
          <w:tcPr>
            <w:tcW w:w="3496"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社区卫生服务站、村卫生室</w:t>
            </w:r>
          </w:p>
        </w:tc>
        <w:tc>
          <w:tcPr>
            <w:tcW w:w="718"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40</w:t>
            </w:r>
          </w:p>
        </w:tc>
        <w:tc>
          <w:tcPr>
            <w:tcW w:w="83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7.21</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649"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60</w:t>
            </w:r>
          </w:p>
        </w:tc>
        <w:tc>
          <w:tcPr>
            <w:tcW w:w="864"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8.19</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663"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w:t>
            </w:r>
          </w:p>
        </w:tc>
        <w:tc>
          <w:tcPr>
            <w:tcW w:w="828"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7.76</w:t>
            </w:r>
          </w:p>
        </w:tc>
      </w:tr>
      <w:tr>
        <w:tblPrEx>
          <w:tblCellMar>
            <w:top w:w="0" w:type="dxa"/>
            <w:left w:w="108" w:type="dxa"/>
            <w:bottom w:w="0" w:type="dxa"/>
            <w:right w:w="108" w:type="dxa"/>
          </w:tblCellMar>
        </w:tblPrEx>
        <w:trPr>
          <w:trHeight w:val="277" w:hRule="atLeast"/>
          <w:jc w:val="center"/>
        </w:trPr>
        <w:tc>
          <w:tcPr>
            <w:tcW w:w="3496"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私人医院及诊所</w:t>
            </w:r>
          </w:p>
        </w:tc>
        <w:tc>
          <w:tcPr>
            <w:tcW w:w="718"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30</w:t>
            </w:r>
          </w:p>
        </w:tc>
        <w:tc>
          <w:tcPr>
            <w:tcW w:w="832"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5.41</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649"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34</w:t>
            </w:r>
          </w:p>
        </w:tc>
        <w:tc>
          <w:tcPr>
            <w:tcW w:w="864"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4.64</w:t>
            </w:r>
          </w:p>
        </w:tc>
        <w:tc>
          <w:tcPr>
            <w:tcW w:w="236"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663"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64</w:t>
            </w:r>
          </w:p>
        </w:tc>
        <w:tc>
          <w:tcPr>
            <w:tcW w:w="828"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4.97</w:t>
            </w:r>
          </w:p>
        </w:tc>
      </w:tr>
      <w:tr>
        <w:tblPrEx>
          <w:tblCellMar>
            <w:top w:w="0" w:type="dxa"/>
            <w:left w:w="108" w:type="dxa"/>
            <w:bottom w:w="0" w:type="dxa"/>
            <w:right w:w="108" w:type="dxa"/>
          </w:tblCellMar>
        </w:tblPrEx>
        <w:trPr>
          <w:trHeight w:val="277" w:hRule="atLeast"/>
          <w:jc w:val="center"/>
        </w:trPr>
        <w:tc>
          <w:tcPr>
            <w:tcW w:w="3496" w:type="dxa"/>
            <w:tcBorders>
              <w:top w:val="nil"/>
              <w:left w:val="nil"/>
              <w:bottom w:val="single" w:color="auto" w:sz="4"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其他</w:t>
            </w:r>
          </w:p>
        </w:tc>
        <w:tc>
          <w:tcPr>
            <w:tcW w:w="718" w:type="dxa"/>
            <w:tcBorders>
              <w:top w:val="nil"/>
              <w:left w:val="nil"/>
              <w:bottom w:val="single" w:color="auto" w:sz="4"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25</w:t>
            </w:r>
          </w:p>
        </w:tc>
        <w:tc>
          <w:tcPr>
            <w:tcW w:w="832"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4.50</w:t>
            </w:r>
          </w:p>
        </w:tc>
        <w:tc>
          <w:tcPr>
            <w:tcW w:w="236"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sz w:val="21"/>
                <w:szCs w:val="21"/>
              </w:rPr>
            </w:pPr>
          </w:p>
        </w:tc>
        <w:tc>
          <w:tcPr>
            <w:tcW w:w="649" w:type="dxa"/>
            <w:tcBorders>
              <w:top w:val="nil"/>
              <w:left w:val="nil"/>
              <w:bottom w:val="single" w:color="auto" w:sz="4"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42</w:t>
            </w:r>
          </w:p>
        </w:tc>
        <w:tc>
          <w:tcPr>
            <w:tcW w:w="864"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5.73</w:t>
            </w:r>
          </w:p>
        </w:tc>
        <w:tc>
          <w:tcPr>
            <w:tcW w:w="236"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sz w:val="21"/>
                <w:szCs w:val="21"/>
              </w:rPr>
            </w:pPr>
          </w:p>
        </w:tc>
        <w:tc>
          <w:tcPr>
            <w:tcW w:w="663" w:type="dxa"/>
            <w:tcBorders>
              <w:top w:val="nil"/>
              <w:left w:val="nil"/>
              <w:bottom w:val="single" w:color="auto" w:sz="4"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67</w:t>
            </w:r>
          </w:p>
        </w:tc>
        <w:tc>
          <w:tcPr>
            <w:tcW w:w="828"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5.20</w:t>
            </w:r>
          </w:p>
        </w:tc>
      </w:tr>
      <w:tr>
        <w:tblPrEx>
          <w:tblCellMar>
            <w:top w:w="0" w:type="dxa"/>
            <w:left w:w="108" w:type="dxa"/>
            <w:bottom w:w="0" w:type="dxa"/>
            <w:right w:w="108" w:type="dxa"/>
          </w:tblCellMar>
        </w:tblPrEx>
        <w:trPr>
          <w:trHeight w:val="292" w:hRule="atLeast"/>
          <w:jc w:val="center"/>
        </w:trPr>
        <w:tc>
          <w:tcPr>
            <w:tcW w:w="3496" w:type="dxa"/>
            <w:tcBorders>
              <w:top w:val="single" w:color="auto" w:sz="4" w:space="0"/>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718" w:type="dxa"/>
            <w:tcBorders>
              <w:top w:val="single" w:color="auto" w:sz="4" w:space="0"/>
              <w:left w:val="nil"/>
              <w:bottom w:val="single" w:color="auto" w:sz="8"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555</w:t>
            </w:r>
          </w:p>
        </w:tc>
        <w:tc>
          <w:tcPr>
            <w:tcW w:w="832" w:type="dxa"/>
            <w:tcBorders>
              <w:top w:val="single" w:color="auto" w:sz="4" w:space="0"/>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36" w:type="dxa"/>
            <w:tcBorders>
              <w:top w:val="single" w:color="auto" w:sz="4" w:space="0"/>
              <w:left w:val="nil"/>
              <w:bottom w:val="single" w:color="auto" w:sz="8" w:space="0"/>
              <w:right w:val="nil"/>
            </w:tcBorders>
            <w:vAlign w:val="center"/>
          </w:tcPr>
          <w:p>
            <w:pPr>
              <w:spacing w:line="360" w:lineRule="auto"/>
              <w:jc w:val="center"/>
              <w:rPr>
                <w:rFonts w:cs="Arial" w:asciiTheme="minorEastAsia" w:hAnsiTheme="minorEastAsia" w:eastAsiaTheme="minorEastAsia"/>
                <w:sz w:val="21"/>
                <w:szCs w:val="21"/>
              </w:rPr>
            </w:pPr>
          </w:p>
        </w:tc>
        <w:tc>
          <w:tcPr>
            <w:tcW w:w="649" w:type="dxa"/>
            <w:tcBorders>
              <w:top w:val="single" w:color="auto" w:sz="4" w:space="0"/>
              <w:left w:val="nil"/>
              <w:bottom w:val="single" w:color="auto" w:sz="8"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733</w:t>
            </w:r>
          </w:p>
        </w:tc>
        <w:tc>
          <w:tcPr>
            <w:tcW w:w="864" w:type="dxa"/>
            <w:tcBorders>
              <w:top w:val="single" w:color="auto" w:sz="4" w:space="0"/>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36" w:type="dxa"/>
            <w:tcBorders>
              <w:top w:val="single" w:color="auto" w:sz="4" w:space="0"/>
              <w:left w:val="nil"/>
              <w:bottom w:val="single" w:color="auto" w:sz="8" w:space="0"/>
              <w:right w:val="nil"/>
            </w:tcBorders>
            <w:vAlign w:val="center"/>
          </w:tcPr>
          <w:p>
            <w:pPr>
              <w:spacing w:line="360" w:lineRule="auto"/>
              <w:jc w:val="center"/>
              <w:rPr>
                <w:rFonts w:cs="Arial" w:asciiTheme="minorEastAsia" w:hAnsiTheme="minorEastAsia" w:eastAsiaTheme="minorEastAsia"/>
                <w:sz w:val="21"/>
                <w:szCs w:val="21"/>
              </w:rPr>
            </w:pPr>
          </w:p>
        </w:tc>
        <w:tc>
          <w:tcPr>
            <w:tcW w:w="663" w:type="dxa"/>
            <w:tcBorders>
              <w:top w:val="single" w:color="auto" w:sz="4" w:space="0"/>
              <w:left w:val="nil"/>
              <w:bottom w:val="single" w:color="auto" w:sz="8"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1288</w:t>
            </w:r>
          </w:p>
        </w:tc>
        <w:tc>
          <w:tcPr>
            <w:tcW w:w="828" w:type="dxa"/>
            <w:tcBorders>
              <w:top w:val="single" w:color="auto" w:sz="4" w:space="0"/>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r>
    </w:tbl>
    <w:p>
      <w:pPr>
        <w:spacing w:line="360" w:lineRule="auto"/>
        <w:rPr>
          <w:b/>
          <w:sz w:val="28"/>
          <w:szCs w:val="28"/>
        </w:rPr>
      </w:pPr>
    </w:p>
    <w:p>
      <w:pPr>
        <w:spacing w:after="0" w:line="360" w:lineRule="auto"/>
        <w:ind w:firstLine="562" w:firstLineChars="200"/>
        <w:rPr>
          <w:rFonts w:ascii="宋体" w:hAnsi="宋体" w:eastAsia="宋体"/>
          <w:sz w:val="28"/>
          <w:szCs w:val="28"/>
        </w:rPr>
      </w:pPr>
      <w:r>
        <w:rPr>
          <w:rFonts w:ascii="宋体" w:hAnsi="宋体" w:eastAsia="宋体"/>
          <w:b/>
          <w:sz w:val="28"/>
          <w:szCs w:val="28"/>
        </w:rPr>
        <w:t>3、两周是否去医院</w:t>
      </w:r>
    </w:p>
    <w:p>
      <w:pPr>
        <w:spacing w:beforeLines="50" w:afterLines="50"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1288名调查对象中，18.01%（232/1288）最近两周去医院就诊过，其中17.12%（95/555）的男性、18.70%（137/733）的女性最近两周去医院就诊过 。</w:t>
      </w:r>
    </w:p>
    <w:p>
      <w:pPr>
        <w:spacing w:after="0" w:line="360" w:lineRule="auto"/>
        <w:ind w:firstLine="562" w:firstLineChars="200"/>
        <w:rPr>
          <w:rFonts w:ascii="宋体" w:hAnsi="宋体" w:eastAsia="宋体"/>
          <w:b/>
          <w:sz w:val="28"/>
          <w:szCs w:val="28"/>
        </w:rPr>
      </w:pPr>
      <w:r>
        <w:rPr>
          <w:rFonts w:ascii="宋体" w:hAnsi="宋体" w:eastAsia="宋体"/>
          <w:b/>
          <w:sz w:val="28"/>
          <w:szCs w:val="28"/>
        </w:rPr>
        <w:t>4、就诊原因</w:t>
      </w:r>
    </w:p>
    <w:p>
      <w:pPr>
        <w:spacing w:beforeLines="50" w:afterLines="50" w:line="360" w:lineRule="auto"/>
        <w:ind w:firstLine="480" w:firstLineChars="200"/>
        <w:rPr>
          <w:rFonts w:ascii="宋体" w:hAnsi="宋体" w:eastAsia="宋体" w:cs="Times New Roman"/>
          <w:sz w:val="24"/>
          <w:szCs w:val="24"/>
        </w:rPr>
      </w:pPr>
      <w:bookmarkStart w:id="25" w:name="_Toc364026670"/>
      <w:r>
        <w:rPr>
          <w:rFonts w:hint="eastAsia" w:ascii="宋体" w:hAnsi="宋体" w:eastAsia="宋体" w:cs="Times New Roman"/>
          <w:sz w:val="24"/>
          <w:szCs w:val="24"/>
        </w:rPr>
        <w:t>最近两周去医院就诊过的232名调查对象中，29.31%因高血压就诊，7.87%因糖尿病就诊，2.91%因冠心病就诊，2.75%因高血脂就诊，因肿瘤和脑卒中去医院就诊的比例分别为1.39%和1.05%。其中回答最近两周就诊所花医疗费用共229名调查对象，就诊所花医疗费用平均为382.06元。见表23.</w:t>
      </w:r>
    </w:p>
    <w:p>
      <w:pPr>
        <w:spacing w:line="360" w:lineRule="auto"/>
        <w:jc w:val="center"/>
        <w:rPr>
          <w:rFonts w:ascii="宋体" w:hAnsi="宋体" w:eastAsia="宋体"/>
          <w:color w:val="000000"/>
        </w:rPr>
      </w:pPr>
      <w:r>
        <w:rPr>
          <w:rFonts w:hint="eastAsia" w:ascii="宋体" w:hAnsi="宋体" w:eastAsia="宋体"/>
          <w:color w:val="000000"/>
        </w:rPr>
        <w:t>表23   调查对象就诊疾病分类构成比</w:t>
      </w:r>
      <w:r>
        <w:rPr>
          <w:rFonts w:hint="eastAsia" w:asciiTheme="minorEastAsia" w:hAnsiTheme="minorEastAsia" w:eastAsiaTheme="minorEastAsia"/>
        </w:rPr>
        <w:t>(%)</w:t>
      </w:r>
    </w:p>
    <w:tbl>
      <w:tblPr>
        <w:tblStyle w:val="11"/>
        <w:tblW w:w="8519" w:type="dxa"/>
        <w:jc w:val="center"/>
        <w:tblLayout w:type="fixed"/>
        <w:tblCellMar>
          <w:top w:w="0" w:type="dxa"/>
          <w:left w:w="108" w:type="dxa"/>
          <w:bottom w:w="0" w:type="dxa"/>
          <w:right w:w="108" w:type="dxa"/>
        </w:tblCellMar>
      </w:tblPr>
      <w:tblGrid>
        <w:gridCol w:w="1459"/>
        <w:gridCol w:w="1063"/>
        <w:gridCol w:w="1076"/>
        <w:gridCol w:w="236"/>
        <w:gridCol w:w="1119"/>
        <w:gridCol w:w="1121"/>
        <w:gridCol w:w="236"/>
        <w:gridCol w:w="1102"/>
        <w:gridCol w:w="1107"/>
      </w:tblGrid>
      <w:tr>
        <w:tblPrEx>
          <w:tblCellMar>
            <w:top w:w="0" w:type="dxa"/>
            <w:left w:w="108" w:type="dxa"/>
            <w:bottom w:w="0" w:type="dxa"/>
            <w:right w:w="108" w:type="dxa"/>
          </w:tblCellMar>
        </w:tblPrEx>
        <w:trPr>
          <w:trHeight w:val="23" w:hRule="atLeast"/>
          <w:jc w:val="center"/>
        </w:trPr>
        <w:tc>
          <w:tcPr>
            <w:tcW w:w="1463" w:type="dxa"/>
            <w:vMerge w:val="restart"/>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疾病分类</w:t>
            </w:r>
          </w:p>
        </w:tc>
        <w:tc>
          <w:tcPr>
            <w:tcW w:w="2147"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男性</w:t>
            </w:r>
          </w:p>
        </w:tc>
        <w:tc>
          <w:tcPr>
            <w:tcW w:w="222"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2248"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女性</w:t>
            </w:r>
          </w:p>
        </w:tc>
        <w:tc>
          <w:tcPr>
            <w:tcW w:w="222" w:type="dxa"/>
            <w:tcBorders>
              <w:top w:val="single" w:color="auto" w:sz="4"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2217" w:type="dxa"/>
            <w:gridSpan w:val="2"/>
            <w:tcBorders>
              <w:top w:val="single" w:color="auto" w:sz="4" w:space="0"/>
              <w:left w:val="nil"/>
              <w:bottom w:val="single" w:color="auto" w:sz="4"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r>
      <w:tr>
        <w:tblPrEx>
          <w:tblCellMar>
            <w:top w:w="0" w:type="dxa"/>
            <w:left w:w="108" w:type="dxa"/>
            <w:bottom w:w="0" w:type="dxa"/>
            <w:right w:w="108" w:type="dxa"/>
          </w:tblCellMar>
        </w:tblPrEx>
        <w:trPr>
          <w:trHeight w:val="23" w:hRule="atLeast"/>
          <w:jc w:val="center"/>
        </w:trPr>
        <w:tc>
          <w:tcPr>
            <w:tcW w:w="1463" w:type="dxa"/>
            <w:vMerge w:val="continue"/>
            <w:tcBorders>
              <w:top w:val="single" w:color="008000" w:sz="12" w:space="0"/>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067"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080"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2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123"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125"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c>
          <w:tcPr>
            <w:tcW w:w="222"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p>
        </w:tc>
        <w:tc>
          <w:tcPr>
            <w:tcW w:w="1106"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例数</w:t>
            </w:r>
          </w:p>
        </w:tc>
        <w:tc>
          <w:tcPr>
            <w:tcW w:w="1111" w:type="dxa"/>
            <w:tcBorders>
              <w:top w:val="nil"/>
              <w:left w:val="nil"/>
              <w:bottom w:val="nil"/>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构成比</w:t>
            </w:r>
          </w:p>
        </w:tc>
      </w:tr>
      <w:tr>
        <w:tblPrEx>
          <w:tblCellMar>
            <w:top w:w="0" w:type="dxa"/>
            <w:left w:w="108" w:type="dxa"/>
            <w:bottom w:w="0" w:type="dxa"/>
            <w:right w:w="108" w:type="dxa"/>
          </w:tblCellMar>
        </w:tblPrEx>
        <w:trPr>
          <w:trHeight w:val="23" w:hRule="atLeast"/>
          <w:jc w:val="center"/>
        </w:trPr>
        <w:tc>
          <w:tcPr>
            <w:tcW w:w="1463" w:type="dxa"/>
            <w:tcBorders>
              <w:top w:val="single" w:color="auto" w:sz="4" w:space="0"/>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高血压</w:t>
            </w:r>
          </w:p>
        </w:tc>
        <w:tc>
          <w:tcPr>
            <w:tcW w:w="1067" w:type="dxa"/>
            <w:tcBorders>
              <w:top w:val="single" w:color="auto" w:sz="4" w:space="0"/>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33</w:t>
            </w:r>
          </w:p>
        </w:tc>
        <w:tc>
          <w:tcPr>
            <w:tcW w:w="1080"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34.74</w:t>
            </w:r>
          </w:p>
        </w:tc>
        <w:tc>
          <w:tcPr>
            <w:tcW w:w="222"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23" w:type="dxa"/>
            <w:tcBorders>
              <w:top w:val="single" w:color="auto" w:sz="4" w:space="0"/>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35</w:t>
            </w:r>
          </w:p>
        </w:tc>
        <w:tc>
          <w:tcPr>
            <w:tcW w:w="1125"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25.55</w:t>
            </w:r>
          </w:p>
        </w:tc>
        <w:tc>
          <w:tcPr>
            <w:tcW w:w="222"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06" w:type="dxa"/>
            <w:tcBorders>
              <w:top w:val="single" w:color="auto" w:sz="4" w:space="0"/>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68</w:t>
            </w:r>
          </w:p>
        </w:tc>
        <w:tc>
          <w:tcPr>
            <w:tcW w:w="1111" w:type="dxa"/>
            <w:tcBorders>
              <w:top w:val="single" w:color="auto" w:sz="4" w:space="0"/>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29.31</w:t>
            </w:r>
          </w:p>
        </w:tc>
      </w:tr>
      <w:tr>
        <w:tblPrEx>
          <w:tblCellMar>
            <w:top w:w="0" w:type="dxa"/>
            <w:left w:w="108" w:type="dxa"/>
            <w:bottom w:w="0" w:type="dxa"/>
            <w:right w:w="108" w:type="dxa"/>
          </w:tblCellMar>
        </w:tblPrEx>
        <w:trPr>
          <w:trHeight w:val="23" w:hRule="atLeast"/>
          <w:jc w:val="center"/>
        </w:trPr>
        <w:tc>
          <w:tcPr>
            <w:tcW w:w="146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冠心病</w:t>
            </w:r>
          </w:p>
        </w:tc>
        <w:tc>
          <w:tcPr>
            <w:tcW w:w="106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w:t>
            </w:r>
          </w:p>
        </w:tc>
        <w:tc>
          <w:tcPr>
            <w:tcW w:w="108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2.11</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23"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w:t>
            </w:r>
          </w:p>
        </w:tc>
        <w:tc>
          <w:tcPr>
            <w:tcW w:w="112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0.00</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06"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w:t>
            </w:r>
          </w:p>
        </w:tc>
        <w:tc>
          <w:tcPr>
            <w:tcW w:w="1111"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0.86</w:t>
            </w:r>
          </w:p>
        </w:tc>
      </w:tr>
      <w:tr>
        <w:tblPrEx>
          <w:tblCellMar>
            <w:top w:w="0" w:type="dxa"/>
            <w:left w:w="108" w:type="dxa"/>
            <w:bottom w:w="0" w:type="dxa"/>
            <w:right w:w="108" w:type="dxa"/>
          </w:tblCellMar>
        </w:tblPrEx>
        <w:trPr>
          <w:trHeight w:val="23" w:hRule="atLeast"/>
          <w:jc w:val="center"/>
        </w:trPr>
        <w:tc>
          <w:tcPr>
            <w:tcW w:w="146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高血脂病</w:t>
            </w:r>
          </w:p>
        </w:tc>
        <w:tc>
          <w:tcPr>
            <w:tcW w:w="106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108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3.16</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23"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w:t>
            </w:r>
          </w:p>
        </w:tc>
        <w:tc>
          <w:tcPr>
            <w:tcW w:w="112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1.46</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06"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w:t>
            </w:r>
          </w:p>
        </w:tc>
        <w:tc>
          <w:tcPr>
            <w:tcW w:w="1111"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2.16</w:t>
            </w:r>
          </w:p>
        </w:tc>
      </w:tr>
      <w:tr>
        <w:tblPrEx>
          <w:tblCellMar>
            <w:top w:w="0" w:type="dxa"/>
            <w:left w:w="108" w:type="dxa"/>
            <w:bottom w:w="0" w:type="dxa"/>
            <w:right w:w="108" w:type="dxa"/>
          </w:tblCellMar>
        </w:tblPrEx>
        <w:trPr>
          <w:trHeight w:val="23" w:hRule="atLeast"/>
          <w:jc w:val="center"/>
        </w:trPr>
        <w:tc>
          <w:tcPr>
            <w:tcW w:w="146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肿瘤</w:t>
            </w:r>
          </w:p>
        </w:tc>
        <w:tc>
          <w:tcPr>
            <w:tcW w:w="1067" w:type="dxa"/>
            <w:tcBorders>
              <w:top w:val="nil"/>
              <w:left w:val="nil"/>
              <w:bottom w:val="nil"/>
              <w:right w:val="nil"/>
            </w:tcBorders>
            <w:noWrap/>
            <w:vAlign w:val="center"/>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0</w:t>
            </w:r>
          </w:p>
        </w:tc>
        <w:tc>
          <w:tcPr>
            <w:tcW w:w="108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0.00</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23" w:type="dxa"/>
            <w:tcBorders>
              <w:top w:val="nil"/>
              <w:left w:val="nil"/>
              <w:bottom w:val="nil"/>
              <w:right w:val="nil"/>
            </w:tcBorders>
            <w:noWrap/>
            <w:vAlign w:val="center"/>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0</w:t>
            </w:r>
          </w:p>
        </w:tc>
        <w:tc>
          <w:tcPr>
            <w:tcW w:w="112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0.00</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06"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w:t>
            </w:r>
          </w:p>
        </w:tc>
        <w:tc>
          <w:tcPr>
            <w:tcW w:w="1111"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0.00</w:t>
            </w:r>
          </w:p>
        </w:tc>
      </w:tr>
      <w:tr>
        <w:tblPrEx>
          <w:tblCellMar>
            <w:top w:w="0" w:type="dxa"/>
            <w:left w:w="108" w:type="dxa"/>
            <w:bottom w:w="0" w:type="dxa"/>
            <w:right w:w="108" w:type="dxa"/>
          </w:tblCellMar>
        </w:tblPrEx>
        <w:trPr>
          <w:trHeight w:val="23" w:hRule="atLeast"/>
          <w:jc w:val="center"/>
        </w:trPr>
        <w:tc>
          <w:tcPr>
            <w:tcW w:w="146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脑卒中</w:t>
            </w:r>
          </w:p>
        </w:tc>
        <w:tc>
          <w:tcPr>
            <w:tcW w:w="106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w:t>
            </w:r>
          </w:p>
        </w:tc>
        <w:tc>
          <w:tcPr>
            <w:tcW w:w="108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1.05</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23"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w:t>
            </w:r>
          </w:p>
        </w:tc>
        <w:tc>
          <w:tcPr>
            <w:tcW w:w="112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2.19</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06"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w:t>
            </w:r>
          </w:p>
        </w:tc>
        <w:tc>
          <w:tcPr>
            <w:tcW w:w="1111"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1.72</w:t>
            </w:r>
          </w:p>
        </w:tc>
      </w:tr>
      <w:tr>
        <w:tblPrEx>
          <w:tblCellMar>
            <w:top w:w="0" w:type="dxa"/>
            <w:left w:w="108" w:type="dxa"/>
            <w:bottom w:w="0" w:type="dxa"/>
            <w:right w:w="108" w:type="dxa"/>
          </w:tblCellMar>
        </w:tblPrEx>
        <w:trPr>
          <w:trHeight w:val="23" w:hRule="atLeast"/>
          <w:jc w:val="center"/>
        </w:trPr>
        <w:tc>
          <w:tcPr>
            <w:tcW w:w="146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糖尿病</w:t>
            </w:r>
          </w:p>
        </w:tc>
        <w:tc>
          <w:tcPr>
            <w:tcW w:w="106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w:t>
            </w:r>
          </w:p>
        </w:tc>
        <w:tc>
          <w:tcPr>
            <w:tcW w:w="108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5.26</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23"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w:t>
            </w:r>
          </w:p>
        </w:tc>
        <w:tc>
          <w:tcPr>
            <w:tcW w:w="112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3.65</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06"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w:t>
            </w:r>
          </w:p>
        </w:tc>
        <w:tc>
          <w:tcPr>
            <w:tcW w:w="1111"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4.31</w:t>
            </w:r>
          </w:p>
        </w:tc>
      </w:tr>
      <w:tr>
        <w:tblPrEx>
          <w:tblCellMar>
            <w:top w:w="0" w:type="dxa"/>
            <w:left w:w="108" w:type="dxa"/>
            <w:bottom w:w="0" w:type="dxa"/>
            <w:right w:w="108" w:type="dxa"/>
          </w:tblCellMar>
        </w:tblPrEx>
        <w:trPr>
          <w:trHeight w:val="23" w:hRule="atLeast"/>
          <w:jc w:val="center"/>
        </w:trPr>
        <w:tc>
          <w:tcPr>
            <w:tcW w:w="146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缺铁性贫血</w:t>
            </w:r>
          </w:p>
        </w:tc>
        <w:tc>
          <w:tcPr>
            <w:tcW w:w="106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w:t>
            </w:r>
          </w:p>
        </w:tc>
        <w:tc>
          <w:tcPr>
            <w:tcW w:w="108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2.11</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23"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w:t>
            </w:r>
          </w:p>
        </w:tc>
        <w:tc>
          <w:tcPr>
            <w:tcW w:w="112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1.46</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06"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w:t>
            </w:r>
          </w:p>
        </w:tc>
        <w:tc>
          <w:tcPr>
            <w:tcW w:w="1111"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1.72</w:t>
            </w:r>
          </w:p>
        </w:tc>
      </w:tr>
      <w:tr>
        <w:tblPrEx>
          <w:tblCellMar>
            <w:top w:w="0" w:type="dxa"/>
            <w:left w:w="108" w:type="dxa"/>
            <w:bottom w:w="0" w:type="dxa"/>
            <w:right w:w="108" w:type="dxa"/>
          </w:tblCellMar>
        </w:tblPrEx>
        <w:trPr>
          <w:trHeight w:val="23" w:hRule="atLeast"/>
          <w:jc w:val="center"/>
        </w:trPr>
        <w:tc>
          <w:tcPr>
            <w:tcW w:w="1463" w:type="dxa"/>
            <w:tcBorders>
              <w:top w:val="nil"/>
              <w:left w:val="nil"/>
              <w:bottom w:val="nil"/>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脂肪肝</w:t>
            </w:r>
          </w:p>
        </w:tc>
        <w:tc>
          <w:tcPr>
            <w:tcW w:w="1067"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49</w:t>
            </w:r>
          </w:p>
        </w:tc>
        <w:tc>
          <w:tcPr>
            <w:tcW w:w="1080"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51.58</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23"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w:t>
            </w:r>
          </w:p>
        </w:tc>
        <w:tc>
          <w:tcPr>
            <w:tcW w:w="1125"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0.00</w:t>
            </w:r>
          </w:p>
        </w:tc>
        <w:tc>
          <w:tcPr>
            <w:tcW w:w="222" w:type="dxa"/>
            <w:tcBorders>
              <w:top w:val="nil"/>
              <w:left w:val="nil"/>
              <w:bottom w:val="nil"/>
              <w:right w:val="nil"/>
            </w:tcBorders>
            <w:vAlign w:val="center"/>
          </w:tcPr>
          <w:p>
            <w:pPr>
              <w:spacing w:line="360" w:lineRule="auto"/>
              <w:jc w:val="center"/>
              <w:rPr>
                <w:rFonts w:cs="Arial" w:asciiTheme="minorEastAsia" w:hAnsiTheme="minorEastAsia" w:eastAsiaTheme="minorEastAsia"/>
                <w:sz w:val="21"/>
                <w:szCs w:val="21"/>
              </w:rPr>
            </w:pPr>
          </w:p>
        </w:tc>
        <w:tc>
          <w:tcPr>
            <w:tcW w:w="1106" w:type="dxa"/>
            <w:tcBorders>
              <w:top w:val="nil"/>
              <w:left w:val="nil"/>
              <w:bottom w:val="nil"/>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49</w:t>
            </w:r>
          </w:p>
        </w:tc>
        <w:tc>
          <w:tcPr>
            <w:tcW w:w="1111" w:type="dxa"/>
            <w:tcBorders>
              <w:top w:val="nil"/>
              <w:left w:val="nil"/>
              <w:bottom w:val="nil"/>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21.12</w:t>
            </w:r>
          </w:p>
        </w:tc>
      </w:tr>
      <w:tr>
        <w:tblPrEx>
          <w:tblCellMar>
            <w:top w:w="0" w:type="dxa"/>
            <w:left w:w="108" w:type="dxa"/>
            <w:bottom w:w="0" w:type="dxa"/>
            <w:right w:w="108" w:type="dxa"/>
          </w:tblCellMar>
        </w:tblPrEx>
        <w:trPr>
          <w:trHeight w:val="23" w:hRule="atLeast"/>
          <w:jc w:val="center"/>
        </w:trPr>
        <w:tc>
          <w:tcPr>
            <w:tcW w:w="1463" w:type="dxa"/>
            <w:tcBorders>
              <w:top w:val="nil"/>
              <w:left w:val="nil"/>
              <w:bottom w:val="single" w:color="auto" w:sz="4" w:space="0"/>
              <w:right w:val="nil"/>
            </w:tcBorders>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以上均无</w:t>
            </w:r>
          </w:p>
        </w:tc>
        <w:tc>
          <w:tcPr>
            <w:tcW w:w="1067" w:type="dxa"/>
            <w:tcBorders>
              <w:top w:val="nil"/>
              <w:left w:val="nil"/>
              <w:bottom w:val="single" w:color="auto" w:sz="4" w:space="0"/>
              <w:right w:val="nil"/>
            </w:tcBorders>
            <w:noWrap/>
            <w:vAlign w:val="center"/>
          </w:tcPr>
          <w:p>
            <w:pPr>
              <w:spacing w:line="360" w:lineRule="auto"/>
              <w:jc w:val="center"/>
              <w:rPr>
                <w:rFonts w:cs="宋体"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0</w:t>
            </w:r>
          </w:p>
        </w:tc>
        <w:tc>
          <w:tcPr>
            <w:tcW w:w="1080"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0.00</w:t>
            </w:r>
          </w:p>
        </w:tc>
        <w:tc>
          <w:tcPr>
            <w:tcW w:w="222"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sz w:val="21"/>
                <w:szCs w:val="21"/>
              </w:rPr>
            </w:pPr>
          </w:p>
        </w:tc>
        <w:tc>
          <w:tcPr>
            <w:tcW w:w="1123" w:type="dxa"/>
            <w:tcBorders>
              <w:top w:val="nil"/>
              <w:left w:val="nil"/>
              <w:bottom w:val="single" w:color="auto" w:sz="4"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90</w:t>
            </w:r>
          </w:p>
        </w:tc>
        <w:tc>
          <w:tcPr>
            <w:tcW w:w="1125"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65.69</w:t>
            </w:r>
          </w:p>
        </w:tc>
        <w:tc>
          <w:tcPr>
            <w:tcW w:w="222"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sz w:val="21"/>
                <w:szCs w:val="21"/>
              </w:rPr>
            </w:pPr>
          </w:p>
        </w:tc>
        <w:tc>
          <w:tcPr>
            <w:tcW w:w="1106" w:type="dxa"/>
            <w:tcBorders>
              <w:top w:val="nil"/>
              <w:left w:val="nil"/>
              <w:bottom w:val="single" w:color="auto" w:sz="4"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90</w:t>
            </w:r>
          </w:p>
        </w:tc>
        <w:tc>
          <w:tcPr>
            <w:tcW w:w="1111" w:type="dxa"/>
            <w:tcBorders>
              <w:top w:val="nil"/>
              <w:left w:val="nil"/>
              <w:bottom w:val="single" w:color="auto" w:sz="4"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38.79</w:t>
            </w:r>
          </w:p>
        </w:tc>
      </w:tr>
      <w:tr>
        <w:tblPrEx>
          <w:tblCellMar>
            <w:top w:w="0" w:type="dxa"/>
            <w:left w:w="108" w:type="dxa"/>
            <w:bottom w:w="0" w:type="dxa"/>
            <w:right w:w="108" w:type="dxa"/>
          </w:tblCellMar>
        </w:tblPrEx>
        <w:trPr>
          <w:trHeight w:val="23" w:hRule="atLeast"/>
          <w:jc w:val="center"/>
        </w:trPr>
        <w:tc>
          <w:tcPr>
            <w:tcW w:w="1463" w:type="dxa"/>
            <w:tcBorders>
              <w:top w:val="nil"/>
              <w:left w:val="nil"/>
              <w:bottom w:val="single" w:color="auto" w:sz="8" w:space="0"/>
              <w:right w:val="nil"/>
            </w:tcBorders>
            <w:vAlign w:val="center"/>
          </w:tcPr>
          <w:p>
            <w:pPr>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合计</w:t>
            </w:r>
          </w:p>
        </w:tc>
        <w:tc>
          <w:tcPr>
            <w:tcW w:w="1067" w:type="dxa"/>
            <w:tcBorders>
              <w:top w:val="nil"/>
              <w:left w:val="nil"/>
              <w:bottom w:val="single" w:color="auto" w:sz="8"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95</w:t>
            </w:r>
          </w:p>
        </w:tc>
        <w:tc>
          <w:tcPr>
            <w:tcW w:w="1080"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single" w:color="auto" w:sz="8" w:space="0"/>
              <w:right w:val="nil"/>
            </w:tcBorders>
            <w:vAlign w:val="center"/>
          </w:tcPr>
          <w:p>
            <w:pPr>
              <w:spacing w:line="360" w:lineRule="auto"/>
              <w:jc w:val="center"/>
              <w:rPr>
                <w:rFonts w:cs="宋体" w:asciiTheme="minorEastAsia" w:hAnsiTheme="minorEastAsia" w:eastAsiaTheme="minorEastAsia"/>
                <w:color w:val="000000"/>
                <w:sz w:val="21"/>
                <w:szCs w:val="21"/>
              </w:rPr>
            </w:pPr>
          </w:p>
        </w:tc>
        <w:tc>
          <w:tcPr>
            <w:tcW w:w="1123" w:type="dxa"/>
            <w:tcBorders>
              <w:top w:val="nil"/>
              <w:left w:val="nil"/>
              <w:bottom w:val="single" w:color="auto" w:sz="8"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137</w:t>
            </w:r>
          </w:p>
        </w:tc>
        <w:tc>
          <w:tcPr>
            <w:tcW w:w="1125"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c>
          <w:tcPr>
            <w:tcW w:w="222"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sz w:val="21"/>
                <w:szCs w:val="21"/>
              </w:rPr>
            </w:pPr>
          </w:p>
        </w:tc>
        <w:tc>
          <w:tcPr>
            <w:tcW w:w="1106" w:type="dxa"/>
            <w:tcBorders>
              <w:top w:val="nil"/>
              <w:left w:val="nil"/>
              <w:bottom w:val="single" w:color="auto" w:sz="8" w:space="0"/>
              <w:right w:val="nil"/>
            </w:tcBorders>
            <w:noWrap/>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232</w:t>
            </w:r>
          </w:p>
        </w:tc>
        <w:tc>
          <w:tcPr>
            <w:tcW w:w="1111" w:type="dxa"/>
            <w:tcBorders>
              <w:top w:val="nil"/>
              <w:left w:val="nil"/>
              <w:bottom w:val="single" w:color="auto" w:sz="8" w:space="0"/>
              <w:right w:val="nil"/>
            </w:tcBorders>
            <w:vAlign w:val="center"/>
          </w:tcPr>
          <w:p>
            <w:pPr>
              <w:spacing w:line="360" w:lineRule="auto"/>
              <w:jc w:val="center"/>
              <w:rPr>
                <w:rFonts w:cs="Arial" w:asciiTheme="minorEastAsia" w:hAnsiTheme="minorEastAsia" w:eastAsiaTheme="minorEastAsia"/>
                <w:color w:val="000000"/>
                <w:sz w:val="21"/>
                <w:szCs w:val="21"/>
              </w:rPr>
            </w:pPr>
            <w:r>
              <w:rPr>
                <w:rFonts w:cs="Arial" w:asciiTheme="minorEastAsia" w:hAnsiTheme="minorEastAsia" w:eastAsiaTheme="minorEastAsia"/>
                <w:color w:val="000000"/>
                <w:sz w:val="21"/>
                <w:szCs w:val="21"/>
              </w:rPr>
              <w:t>100.00</w:t>
            </w:r>
          </w:p>
        </w:tc>
      </w:tr>
    </w:tbl>
    <w:p>
      <w:pPr>
        <w:pStyle w:val="10"/>
        <w:spacing w:before="0" w:after="0" w:line="360" w:lineRule="auto"/>
        <w:rPr>
          <w:rFonts w:ascii="微软雅黑" w:hAnsi="微软雅黑" w:eastAsia="微软雅黑" w:cs="Times New Roman"/>
          <w:kern w:val="0"/>
          <w:sz w:val="36"/>
          <w:szCs w:val="36"/>
        </w:rPr>
      </w:pPr>
      <w:r>
        <w:rPr>
          <w:rFonts w:hint="eastAsia" w:ascii="微软雅黑" w:hAnsi="微软雅黑" w:eastAsia="微软雅黑" w:cs="Times New Roman"/>
          <w:kern w:val="0"/>
          <w:sz w:val="36"/>
          <w:szCs w:val="36"/>
        </w:rPr>
        <w:t>六</w:t>
      </w:r>
      <w:r>
        <w:rPr>
          <w:rFonts w:ascii="微软雅黑" w:hAnsi="微软雅黑" w:eastAsia="微软雅黑" w:cs="Times New Roman"/>
          <w:kern w:val="0"/>
          <w:sz w:val="36"/>
          <w:szCs w:val="36"/>
        </w:rPr>
        <w:t>、</w:t>
      </w:r>
      <w:bookmarkEnd w:id="25"/>
      <w:bookmarkStart w:id="26" w:name="_Toc364026671"/>
      <w:r>
        <w:rPr>
          <w:rFonts w:hint="eastAsia" w:ascii="微软雅黑" w:hAnsi="微软雅黑" w:eastAsia="微软雅黑" w:cs="Times New Roman"/>
          <w:kern w:val="0"/>
          <w:sz w:val="36"/>
          <w:szCs w:val="36"/>
        </w:rPr>
        <w:t>政策与环境资源</w:t>
      </w:r>
    </w:p>
    <w:p>
      <w:pPr>
        <w:pStyle w:val="10"/>
        <w:spacing w:after="0" w:line="360" w:lineRule="auto"/>
        <w:jc w:val="both"/>
        <w:rPr>
          <w:rFonts w:asciiTheme="minorEastAsia" w:hAnsiTheme="minorEastAsia" w:cstheme="minorBidi"/>
          <w:bCs w:val="0"/>
          <w:kern w:val="0"/>
          <w:sz w:val="28"/>
          <w:szCs w:val="28"/>
        </w:rPr>
      </w:pPr>
      <w:r>
        <w:rPr>
          <w:rFonts w:hint="eastAsia" w:asciiTheme="minorEastAsia" w:hAnsiTheme="minorEastAsia" w:cstheme="minorBidi"/>
          <w:bCs w:val="0"/>
          <w:kern w:val="0"/>
          <w:sz w:val="28"/>
          <w:szCs w:val="28"/>
        </w:rPr>
        <w:t>（一）慢性病防控相关组织机构和人员情况</w:t>
      </w:r>
    </w:p>
    <w:p>
      <w:pPr>
        <w:spacing w:after="0" w:line="360" w:lineRule="auto"/>
        <w:ind w:firstLine="200"/>
        <w:rPr>
          <w:rFonts w:asciiTheme="minorEastAsia" w:hAnsiTheme="minorEastAsia" w:eastAsiaTheme="minorEastAsia"/>
          <w:b/>
          <w:sz w:val="28"/>
          <w:szCs w:val="28"/>
        </w:rPr>
      </w:pPr>
      <w:r>
        <w:rPr>
          <w:rFonts w:hint="eastAsia" w:asciiTheme="minorEastAsia" w:hAnsiTheme="minorEastAsia" w:eastAsiaTheme="minorEastAsia"/>
          <w:b/>
          <w:sz w:val="28"/>
          <w:szCs w:val="28"/>
        </w:rPr>
        <w:t>1、管理组织的建设情况</w:t>
      </w:r>
    </w:p>
    <w:p>
      <w:pPr>
        <w:spacing w:after="0" w:line="360" w:lineRule="auto"/>
        <w:ind w:firstLine="436" w:firstLineChars="182"/>
        <w:rPr>
          <w:rFonts w:asciiTheme="majorEastAsia" w:hAnsiTheme="majorEastAsia" w:eastAsiaTheme="majorEastAsia"/>
          <w:b/>
          <w:sz w:val="24"/>
          <w:szCs w:val="24"/>
        </w:rPr>
      </w:pPr>
      <w:r>
        <w:rPr>
          <w:rFonts w:hint="eastAsia" w:asciiTheme="majorEastAsia" w:hAnsiTheme="majorEastAsia" w:eastAsiaTheme="majorEastAsia"/>
          <w:sz w:val="24"/>
          <w:szCs w:val="24"/>
        </w:rPr>
        <w:t>自2014年瑞安市成功创建省级慢性病示范区以来，市政府高度重视该成果的巩固和示范区建设推进工作，6年来不断完善调整慢性病综合防控工作领导体系，健全工作协调机制。市政府、多部门先后联合出台相关政策文件，瑞安市慢性非传染性疾病综合防治工作领导小组多次召开工作部署会议，明确并落实部门职责，建立完善的信息反馈沟通制度。领导小组每年安排团队下基层调研，并将慢性病防控工作纳入当地政府经济社会发展规划。市卫健局建立慢病协调机制，成立领导小组、技术指导小组， 2个医共体总院瑞安人民医院医共体和瑞安市中医院医共体带领各成员单位走精细化同质化医疗服务和中医特色服务，有序推进 “两慢病”患者全周期管理，推进分级诊疗改革，助力慢性病综合防控工作。瑞安市目前形成了政府主导、多部门合作、专业机构支持、全社会参与的慢性病综合防治工作模式。各医共体分院把基本公共卫生服务作为工作重点。其中尤以慢性病防治作为重中之重，设立相关科室，配备相关人员，在绩效分配方面予以倾斜。各社区卫生服务站、村卫生室、责任医生形成防控网底，作为慢病综合防控的主力军。</w:t>
      </w:r>
    </w:p>
    <w:p>
      <w:pPr>
        <w:spacing w:after="0" w:line="360" w:lineRule="auto"/>
        <w:ind w:firstLine="200"/>
        <w:rPr>
          <w:rFonts w:asciiTheme="minorEastAsia" w:hAnsiTheme="minorEastAsia" w:eastAsiaTheme="minorEastAsia"/>
          <w:b/>
          <w:sz w:val="28"/>
          <w:szCs w:val="28"/>
        </w:rPr>
      </w:pPr>
      <w:r>
        <w:rPr>
          <w:rFonts w:hint="eastAsia" w:asciiTheme="minorEastAsia" w:hAnsiTheme="minorEastAsia" w:eastAsiaTheme="minorEastAsia"/>
          <w:b/>
          <w:sz w:val="28"/>
          <w:szCs w:val="28"/>
        </w:rPr>
        <w:t>2、慢性病防控相关部门和机构的工作职责、内容</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府办公室：负责全市慢性病防控工作的组织领导和协调管理，健全多部门合作机制；将慢性病防控工作纳入政府工作报告；协调定期组织召开领导小组及督查通报会议，督促落实相关部门的职责，统筹协调解决实施过程中存在的问题和困难；协调将示苑区建设融入相关部门的年度绩效管理，确保全市慢性病防控工作</w:t>
      </w:r>
      <w:r>
        <w:rPr>
          <w:rFonts w:hint="eastAsia" w:asciiTheme="minorEastAsia" w:hAnsiTheme="minorEastAsia"/>
          <w:b w:val="0"/>
          <w:sz w:val="24"/>
          <w:szCs w:val="24"/>
          <w:lang w:eastAsia="zh-CN"/>
        </w:rPr>
        <w:t>持续</w:t>
      </w:r>
      <w:r>
        <w:rPr>
          <w:rFonts w:hint="eastAsia" w:asciiTheme="minorEastAsia" w:hAnsiTheme="minorEastAsia"/>
          <w:b w:val="0"/>
          <w:sz w:val="24"/>
          <w:szCs w:val="24"/>
        </w:rPr>
        <w:t>发展。</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color w:val="000000" w:themeColor="text1"/>
          <w:sz w:val="24"/>
          <w:szCs w:val="24"/>
        </w:rPr>
        <w:t>市慢控办：</w:t>
      </w:r>
      <w:r>
        <w:rPr>
          <w:rFonts w:hint="eastAsia" w:asciiTheme="minorEastAsia" w:hAnsiTheme="minorEastAsia"/>
          <w:b w:val="0"/>
          <w:sz w:val="24"/>
          <w:szCs w:val="24"/>
        </w:rPr>
        <w:t>牵头制定慢性病综合防控示范区建设实施方案和慢性病防控相关政策；组织召开慢控工作多部门的联络员会议；负责制定全市慢性病综合防控示范区建设工作计划、组织实施、协调、管理、督导、检查和考核评估；加强慢性病防控专业队伍建设和慢性病防控服务体系建设，普及慢性病健康素养、健康知识和技能。提高居民重点慢性病核心知识知晓率；指导相关单位开展创建健康主题公园、健康步道、健康小屋、健康一条街等支持性环境建设；落实《烟草控制框架公约》。推进各单位禁烟工作；指导全市各部门和各乡镇开展慢性病防控工作，收集汇总各类文件和工作资料。</w:t>
      </w:r>
    </w:p>
    <w:p>
      <w:pPr>
        <w:pStyle w:val="10"/>
        <w:spacing w:before="0" w:after="0" w:line="360" w:lineRule="auto"/>
        <w:ind w:firstLine="480" w:firstLineChars="200"/>
        <w:jc w:val="left"/>
        <w:outlineLvl w:val="9"/>
        <w:rPr>
          <w:rFonts w:ascii="Times New Roman" w:hAnsi="宋体"/>
          <w:b w:val="0"/>
          <w:sz w:val="24"/>
          <w:szCs w:val="24"/>
        </w:rPr>
      </w:pPr>
      <w:r>
        <w:rPr>
          <w:rFonts w:hint="eastAsia" w:asciiTheme="minorEastAsia" w:hAnsiTheme="minorEastAsia"/>
          <w:b w:val="0"/>
          <w:sz w:val="24"/>
          <w:szCs w:val="24"/>
        </w:rPr>
        <w:t>市委宣传部：负责制定全市慢性病防控宣传工作方案、营造慢性病防控宣传氛围；</w:t>
      </w:r>
      <w:r>
        <w:rPr>
          <w:rFonts w:hint="eastAsia" w:ascii="Times New Roman" w:hAnsi="宋体"/>
          <w:b w:val="0"/>
          <w:sz w:val="24"/>
          <w:szCs w:val="24"/>
        </w:rPr>
        <w:t>组织新闻媒体，开展形式多样的慢性病防控知识、法律法规和政策的宣传教育，引导居民形成健康的生活方式；及时报道我市慢性病防控工作成果、经验、重大活动以及有关新闻信息。</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市发展改革局：负责将慢性病防控工作纳入社会经济发展规划。</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教育局：实施青少年体育活动促进计划；负责学校、托幼机构开展全民健康生活方式行动，开展健康学校、健康食堂的创建；负责学校、托幼机构开展慢性病综合防控知识宣传，在全市中小学校、幼儿园开设慢性病相关健康教育课；落实全市中小学校中小学生因病缺勤监测工作；组织开展学生健康体检和健康口腔活动。</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市公安局：负责提供全市人口资料和流动人口资料；负责对非正常死亡居民出具《居民死亡医学（推断）书》。</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民政局：负责落实医疗救助重大疾病保障等相关政策；负责制定流动人员、低收入等人群医疗救助水平的具体措施；积极引进社会资本参与慢性病防控。负责社区养老与机构养老的老年人健康养老服务覆盖比例≥80%,具有医养结合机构的乡镇覆盖率≥10%;提供本市居民死亡人口火化资料。</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财政局：负责将慢性病防控工作经费纳入县政府财政预算，保障慢性病防治专项经费到位；建立经费支持的长效机制，使慢控工作可持续发展；负责向市慢控办提供我市慢性病防控工作经费支持的各项凭证材料，并对经费使用情况进行监督检查。</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市住建局：负责协助提供原公园、步道、街道等支持性环境建设资料。</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市城市综合管理局：负责健康主题公园、健康步道、健康小屋、休康一条街等支持性环境的管理。</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文广新局：负责组织多部门参与的集体健身活动或体育赛事、指导促进健身制度落实；开展全民健康健身运动、普及公共体育设施、提高经常参加体育锻炼人口比例，组织开展群体性健身运动鼓励群众广乏升展健身活动，组建5个以上的群体性健身团队。</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卫生健康局：负责全县慢性病全程管理和监测评估；建立分级诊疗制度，推进家庭医生签约服务，开展高血压、糖尿病等重点慢性病规范化管理，加强慢性病高危人群管理工作；指导相关单位开展创建健康家庭、健康社区、健康单位、健康学校、健康餐厅／酒店、健康食堂等工作；</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食品药品监管局：负责开展健康食堂、健康餐厅的创建；开展“三减三健”（减盐减油减糖、健康口腔、健康体重、健康骨骼）专项行动，督促辖区内餐饮单位落实减盐减油减糖行动。鼓励并引导食品生产企业开发和生产低糖低脂和低盐等有利于健康的食品、通过健康教育宣传合理膳食知识，科学指导人群合理营养、平衡膳食。</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市市场监督管理局：负责制定禁止烟草广告的政策性文件，负责落实辖区内烟草广告整治工作。</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社保局：负责落实基本医疗保险、大病补充保险等相关政策；为肿痼、心脑血管疾病等慢性病患者提供医疗保障服务；及时向肿瘤、心脑血管疾病等慢性病患者提供其到相关部门再报销或申请医疗救助所需的资料。</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市广电中心：负责制定电视台慢性病防控知识宣传计划，设置电视宣传专栏，定期播放慢性病防控知识。</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市城建中心：负责健康主题公园、健康步道、健康小屋、健康一条街等支持性环境的建设。</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市总工会：负责制定工间操制度，组织开展工间操培训并督促机关、企事业单位、工矿企业开展工间健身活动。</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团市委：负责组织青年团员的集体性健身活动，组织青年义工开展慢性病防控、控烟戒烟知识宣传活动，充分发挥团员、青年的先锋模范作用。</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市妇联：负责组织和动员全市妇女积极参与慢性病防控工作，依法维护妇女慢性病患者的合法权益；组织全市妇女开展多种形式的健身活动；负责落实机关幼儿园慢性病防控工作。</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市残联：负责制定残疾人的医疗救助水平的具体措施。</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各乡镇：负责本辖区慢性病防控工作的组织领导和协调管理，健全多部门合作机制；定期组织召开本乡镇领导小组及通报会议、督促落实相关部门的职责，统筹协调解决实施过程中存在的问题和困难；将慢性病防控工作纳入本乡镇社会经济发展規划、将慢性病主要指标纳入政府工作报告：组织升展本乡镇群体性健身运动；开展健康主题公园、健康步道、健康小屋、健康一条街等健康支持性环境建设；开展健康家庭、健康社区的创建工作。</w:t>
      </w:r>
    </w:p>
    <w:p>
      <w:pPr>
        <w:spacing w:after="0" w:line="360" w:lineRule="auto"/>
        <w:ind w:firstLine="200"/>
        <w:rPr>
          <w:rFonts w:asciiTheme="minorEastAsia" w:hAnsiTheme="minorEastAsia" w:eastAsiaTheme="minorEastAsia"/>
          <w:b/>
          <w:sz w:val="28"/>
          <w:szCs w:val="28"/>
        </w:rPr>
      </w:pPr>
      <w:r>
        <w:rPr>
          <w:rFonts w:hint="eastAsia" w:asciiTheme="minorEastAsia" w:hAnsiTheme="minorEastAsia" w:eastAsiaTheme="minorEastAsia"/>
          <w:b/>
          <w:sz w:val="28"/>
          <w:szCs w:val="28"/>
        </w:rPr>
        <w:t>3、人员情况</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疾控中心设置独立的慢病科室，工作人员4名，负责慢性病监测和综合防控工作，县级医院均设有科室和人员负责慢病报告死因监测等工作，各乡镇卫生院均设立慢病防治相关科室，安排人员负责慢病报告及死因监测、双向转诊、基本公共卫生服务等工作。</w:t>
      </w:r>
    </w:p>
    <w:p>
      <w:pPr>
        <w:pStyle w:val="10"/>
        <w:spacing w:after="0" w:line="360" w:lineRule="auto"/>
        <w:jc w:val="both"/>
        <w:rPr>
          <w:rFonts w:asciiTheme="minorEastAsia" w:hAnsiTheme="minorEastAsia"/>
        </w:rPr>
      </w:pPr>
      <w:r>
        <w:rPr>
          <w:rFonts w:hint="eastAsia" w:asciiTheme="minorEastAsia" w:hAnsiTheme="minorEastAsia"/>
        </w:rPr>
        <w:t>（二）现有的卫生、疾病防治政策</w:t>
      </w:r>
    </w:p>
    <w:p>
      <w:pPr>
        <w:spacing w:after="0" w:line="360" w:lineRule="auto"/>
        <w:ind w:firstLine="200"/>
        <w:rPr>
          <w:rFonts w:asciiTheme="minorEastAsia" w:hAnsiTheme="minorEastAsia" w:eastAsiaTheme="minorEastAsia"/>
          <w:b/>
          <w:sz w:val="28"/>
          <w:szCs w:val="28"/>
        </w:rPr>
      </w:pPr>
      <w:r>
        <w:rPr>
          <w:rFonts w:hint="eastAsia" w:asciiTheme="minorEastAsia" w:hAnsiTheme="minorEastAsia" w:eastAsiaTheme="minorEastAsia"/>
          <w:b/>
          <w:sz w:val="28"/>
          <w:szCs w:val="28"/>
        </w:rPr>
        <w:t>1、政策现状</w:t>
      </w:r>
    </w:p>
    <w:p>
      <w:pPr>
        <w:pStyle w:val="10"/>
        <w:spacing w:before="0" w:after="0" w:line="360" w:lineRule="auto"/>
        <w:ind w:firstLine="600" w:firstLineChars="250"/>
        <w:jc w:val="left"/>
        <w:outlineLvl w:val="9"/>
        <w:rPr>
          <w:rFonts w:asciiTheme="minorEastAsia" w:hAnsiTheme="minorEastAsia"/>
          <w:b w:val="0"/>
          <w:sz w:val="24"/>
          <w:szCs w:val="24"/>
        </w:rPr>
      </w:pPr>
      <w:r>
        <w:rPr>
          <w:rFonts w:hint="eastAsia" w:asciiTheme="minorEastAsia" w:hAnsiTheme="minorEastAsia"/>
          <w:b w:val="0"/>
          <w:sz w:val="24"/>
          <w:szCs w:val="24"/>
        </w:rPr>
        <w:t>为了贯彻中共中央国务院印发《“健康中国2030”规划纲要》精神，推进健康中国建设，提高人民健康水平，实现全民健康生活方式得到普及，健康服务质量和健康保障水平不断提高的目标，我市将促进全民健康作为转变发展方式、实现科学发展的新战略，融入各项公共政策，加强对慢性病防治工作的组织领导，将慢性病防治工作纳入我市经济社会发展总体规划，建立目标责任制，实行绩效管理。</w:t>
      </w:r>
    </w:p>
    <w:p>
      <w:pPr>
        <w:pStyle w:val="10"/>
        <w:spacing w:before="0" w:after="0" w:line="360" w:lineRule="auto"/>
        <w:ind w:firstLine="600" w:firstLineChars="250"/>
        <w:jc w:val="left"/>
        <w:outlineLvl w:val="9"/>
        <w:rPr>
          <w:rFonts w:asciiTheme="minorEastAsia" w:hAnsiTheme="minorEastAsia"/>
          <w:b w:val="0"/>
          <w:sz w:val="24"/>
          <w:szCs w:val="24"/>
        </w:rPr>
      </w:pPr>
      <w:r>
        <w:rPr>
          <w:rFonts w:hint="eastAsia" w:asciiTheme="minorEastAsia" w:hAnsiTheme="minorEastAsia"/>
          <w:b w:val="0"/>
          <w:sz w:val="24"/>
          <w:szCs w:val="24"/>
        </w:rPr>
        <w:t>2011年，我市将慢性病综合防控工作纳入瑞安市国民经济和社会发展第十二个五年规划（瑞发改综（2011）14号），2014年市府办发了《关于印发创建瑞安市省级慢性非传染性疾病综合防控示范区实施方案的通知》（瑞政办（2014)53号），明确了示范区创建的工作目标、要求、各职能部门工作职责和任务。为深入推进我市慢病綜合防控示范建设工作，建立长效工作机制，实施常态化管理，重新落实各职能部门工作职责和任务，各部门按方案把有烟草控制、降低有害饮酒、减盐、控油、控制体重、全民健身等慢性病危险因素干预、疾病管理相关的政策的慢性病防控融入部门的规章制度，并逐一抓好落实，“以达到人人知晓，人人参与的目的。</w:t>
      </w:r>
    </w:p>
    <w:p>
      <w:pPr>
        <w:pStyle w:val="24"/>
        <w:numPr>
          <w:ilvl w:val="0"/>
          <w:numId w:val="2"/>
        </w:numPr>
        <w:spacing w:line="360" w:lineRule="auto"/>
        <w:ind w:firstLineChars="0"/>
        <w:rPr>
          <w:rFonts w:cs="Arial" w:asciiTheme="minorEastAsia" w:hAnsiTheme="minorEastAsia" w:eastAsiaTheme="minorEastAsia"/>
          <w:bCs/>
          <w:w w:val="100"/>
          <w:kern w:val="2"/>
          <w:sz w:val="24"/>
        </w:rPr>
      </w:pPr>
      <w:r>
        <w:rPr>
          <w:rFonts w:hint="eastAsia" w:cs="Arial" w:asciiTheme="minorEastAsia" w:hAnsiTheme="minorEastAsia" w:eastAsiaTheme="minorEastAsia"/>
          <w:bCs/>
          <w:w w:val="100"/>
          <w:kern w:val="2"/>
          <w:sz w:val="24"/>
        </w:rPr>
        <w:t>2015年以来，瑞安市有序推进国家基本公共卫生服务项目工作。2021年社区两慢病患者、重精患者管理情况</w:t>
      </w:r>
    </w:p>
    <w:p>
      <w:pPr>
        <w:pStyle w:val="24"/>
        <w:spacing w:line="360" w:lineRule="auto"/>
        <w:ind w:left="-1" w:firstLine="0" w:firstLineChars="0"/>
        <w:rPr>
          <w:rFonts w:cs="Arial" w:asciiTheme="minorEastAsia" w:hAnsiTheme="minorEastAsia" w:eastAsiaTheme="minorEastAsia"/>
          <w:bCs/>
          <w:w w:val="100"/>
          <w:kern w:val="2"/>
          <w:sz w:val="24"/>
        </w:rPr>
      </w:pPr>
      <w:r>
        <w:rPr>
          <w:rFonts w:hint="eastAsia" w:cs="Arial" w:asciiTheme="minorEastAsia" w:hAnsiTheme="minorEastAsia" w:eastAsiaTheme="minorEastAsia"/>
          <w:bCs/>
          <w:w w:val="100"/>
          <w:kern w:val="2"/>
          <w:sz w:val="24"/>
        </w:rPr>
        <w:t>（1）高血压患者管理：截止2021年12月31日全市高血压管理患者数</w:t>
      </w:r>
      <w:r>
        <w:rPr>
          <w:rFonts w:cs="Arial" w:asciiTheme="minorEastAsia" w:hAnsiTheme="minorEastAsia" w:eastAsiaTheme="minorEastAsia"/>
          <w:bCs/>
          <w:w w:val="100"/>
          <w:kern w:val="2"/>
          <w:sz w:val="24"/>
        </w:rPr>
        <w:t>113627</w:t>
      </w:r>
      <w:r>
        <w:rPr>
          <w:rFonts w:hint="eastAsia" w:cs="Arial" w:asciiTheme="minorEastAsia" w:hAnsiTheme="minorEastAsia" w:eastAsiaTheme="minorEastAsia"/>
          <w:bCs/>
          <w:w w:val="100"/>
          <w:kern w:val="2"/>
          <w:sz w:val="24"/>
        </w:rPr>
        <w:t>人，规范管理率72.91%，血压控制率64.15%；2型糖尿病患者管理:截止2021年12月31日全市糖尿病管理患者数</w:t>
      </w:r>
      <w:r>
        <w:rPr>
          <w:rFonts w:cs="Arial" w:asciiTheme="minorEastAsia" w:hAnsiTheme="minorEastAsia" w:eastAsiaTheme="minorEastAsia"/>
          <w:bCs/>
          <w:w w:val="100"/>
          <w:kern w:val="2"/>
          <w:sz w:val="24"/>
        </w:rPr>
        <w:t>44369</w:t>
      </w:r>
      <w:r>
        <w:rPr>
          <w:rFonts w:hint="eastAsia" w:cs="Arial" w:asciiTheme="minorEastAsia" w:hAnsiTheme="minorEastAsia" w:eastAsiaTheme="minorEastAsia"/>
          <w:bCs/>
          <w:w w:val="100"/>
          <w:kern w:val="2"/>
          <w:sz w:val="24"/>
        </w:rPr>
        <w:t>人，规范管理率73.23%，血糖控制率57.50%;</w:t>
      </w:r>
    </w:p>
    <w:p>
      <w:pPr>
        <w:pStyle w:val="24"/>
        <w:spacing w:line="360" w:lineRule="auto"/>
        <w:ind w:firstLine="0" w:firstLineChars="0"/>
        <w:rPr>
          <w:rFonts w:cs="Arial" w:asciiTheme="minorEastAsia" w:hAnsiTheme="minorEastAsia" w:eastAsiaTheme="minorEastAsia"/>
          <w:bCs/>
          <w:w w:val="100"/>
          <w:kern w:val="2"/>
          <w:sz w:val="24"/>
        </w:rPr>
      </w:pPr>
      <w:r>
        <w:rPr>
          <w:rFonts w:hint="eastAsia" w:cs="Arial" w:asciiTheme="minorEastAsia" w:hAnsiTheme="minorEastAsia" w:eastAsiaTheme="minorEastAsia"/>
          <w:bCs/>
          <w:w w:val="100"/>
          <w:kern w:val="2"/>
          <w:sz w:val="24"/>
        </w:rPr>
        <w:t>（2）高危管理情况:截止2021年12月31日全市高血压高危管理数</w:t>
      </w:r>
      <w:r>
        <w:rPr>
          <w:rFonts w:cs="Arial" w:asciiTheme="minorEastAsia" w:hAnsiTheme="minorEastAsia" w:eastAsiaTheme="minorEastAsia"/>
          <w:bCs/>
          <w:w w:val="100"/>
          <w:kern w:val="2"/>
          <w:sz w:val="24"/>
        </w:rPr>
        <w:t>32493</w:t>
      </w:r>
      <w:r>
        <w:rPr>
          <w:rFonts w:hint="eastAsia" w:cs="Arial" w:asciiTheme="minorEastAsia" w:hAnsiTheme="minorEastAsia" w:eastAsiaTheme="minorEastAsia"/>
          <w:bCs/>
          <w:w w:val="100"/>
          <w:kern w:val="2"/>
          <w:sz w:val="24"/>
        </w:rPr>
        <w:t>人，管理率2.75%，比去年同期管理数增加20%以上，规范管理</w:t>
      </w:r>
      <w:r>
        <w:rPr>
          <w:rFonts w:cs="Arial" w:asciiTheme="minorEastAsia" w:hAnsiTheme="minorEastAsia" w:eastAsiaTheme="minorEastAsia"/>
          <w:bCs/>
          <w:w w:val="100"/>
          <w:kern w:val="2"/>
          <w:sz w:val="24"/>
        </w:rPr>
        <w:t>20138</w:t>
      </w:r>
      <w:r>
        <w:rPr>
          <w:rFonts w:hint="eastAsia" w:cs="Arial" w:asciiTheme="minorEastAsia" w:hAnsiTheme="minorEastAsia" w:eastAsiaTheme="minorEastAsia"/>
          <w:bCs/>
          <w:w w:val="100"/>
          <w:kern w:val="2"/>
          <w:sz w:val="24"/>
        </w:rPr>
        <w:t>人，重点管理</w:t>
      </w:r>
      <w:r>
        <w:rPr>
          <w:rFonts w:cs="Arial" w:asciiTheme="minorEastAsia" w:hAnsiTheme="minorEastAsia" w:eastAsiaTheme="minorEastAsia"/>
          <w:bCs/>
          <w:w w:val="100"/>
          <w:kern w:val="2"/>
          <w:sz w:val="24"/>
        </w:rPr>
        <w:t>18974</w:t>
      </w:r>
      <w:r>
        <w:rPr>
          <w:rFonts w:hint="eastAsia" w:cs="Arial" w:asciiTheme="minorEastAsia" w:hAnsiTheme="minorEastAsia" w:eastAsiaTheme="minorEastAsia"/>
          <w:bCs/>
          <w:w w:val="100"/>
          <w:kern w:val="2"/>
          <w:sz w:val="24"/>
        </w:rPr>
        <w:t>人，重点管理率58.40%。全市糖尿病高危管理数</w:t>
      </w:r>
      <w:r>
        <w:rPr>
          <w:rFonts w:cs="Arial" w:asciiTheme="minorEastAsia" w:hAnsiTheme="minorEastAsia" w:eastAsiaTheme="minorEastAsia"/>
          <w:bCs/>
          <w:w w:val="100"/>
          <w:kern w:val="2"/>
          <w:sz w:val="24"/>
        </w:rPr>
        <w:t>29201</w:t>
      </w:r>
      <w:r>
        <w:rPr>
          <w:rFonts w:hint="eastAsia" w:cs="Arial" w:asciiTheme="minorEastAsia" w:hAnsiTheme="minorEastAsia" w:eastAsiaTheme="minorEastAsia"/>
          <w:bCs/>
          <w:w w:val="100"/>
          <w:kern w:val="2"/>
          <w:sz w:val="24"/>
        </w:rPr>
        <w:t>人，管理率2.93%，比去年同期管理数增加20%以上，规范管理</w:t>
      </w:r>
      <w:r>
        <w:rPr>
          <w:rFonts w:cs="Arial" w:asciiTheme="minorEastAsia" w:hAnsiTheme="minorEastAsia" w:eastAsiaTheme="minorEastAsia"/>
          <w:bCs/>
          <w:w w:val="100"/>
          <w:kern w:val="2"/>
          <w:sz w:val="24"/>
        </w:rPr>
        <w:t>18940</w:t>
      </w:r>
      <w:r>
        <w:rPr>
          <w:rFonts w:hint="eastAsia" w:cs="Arial" w:asciiTheme="minorEastAsia" w:hAnsiTheme="minorEastAsia" w:eastAsiaTheme="minorEastAsia"/>
          <w:bCs/>
          <w:w w:val="100"/>
          <w:kern w:val="2"/>
          <w:sz w:val="24"/>
        </w:rPr>
        <w:t>人，重点管理</w:t>
      </w:r>
      <w:r>
        <w:rPr>
          <w:rFonts w:cs="Arial" w:asciiTheme="minorEastAsia" w:hAnsiTheme="minorEastAsia" w:eastAsiaTheme="minorEastAsia"/>
          <w:bCs/>
          <w:w w:val="100"/>
          <w:kern w:val="2"/>
          <w:sz w:val="24"/>
        </w:rPr>
        <w:t>18201</w:t>
      </w:r>
      <w:r>
        <w:rPr>
          <w:rFonts w:hint="eastAsia" w:cs="Arial" w:asciiTheme="minorEastAsia" w:hAnsiTheme="minorEastAsia" w:eastAsiaTheme="minorEastAsia"/>
          <w:bCs/>
          <w:w w:val="100"/>
          <w:kern w:val="2"/>
          <w:sz w:val="24"/>
        </w:rPr>
        <w:t>人，重点管理率62.33%.</w:t>
      </w:r>
    </w:p>
    <w:p>
      <w:pPr>
        <w:widowControl w:val="0"/>
        <w:adjustRightInd/>
        <w:snapToGrid/>
        <w:spacing w:after="0" w:line="360" w:lineRule="auto"/>
        <w:rPr>
          <w:rFonts w:cs="Arial" w:asciiTheme="minorEastAsia" w:hAnsiTheme="minorEastAsia" w:eastAsiaTheme="minorEastAsia"/>
          <w:bCs/>
          <w:kern w:val="2"/>
          <w:sz w:val="24"/>
          <w:szCs w:val="24"/>
        </w:rPr>
      </w:pPr>
      <w:r>
        <w:rPr>
          <w:rFonts w:hint="eastAsia" w:cs="Arial" w:asciiTheme="minorEastAsia" w:hAnsiTheme="minorEastAsia" w:eastAsiaTheme="minorEastAsia"/>
          <w:bCs/>
          <w:kern w:val="2"/>
          <w:sz w:val="24"/>
          <w:szCs w:val="24"/>
        </w:rPr>
        <w:t>（3）重性精神病检出和管理情况：</w:t>
      </w:r>
    </w:p>
    <w:p>
      <w:pPr>
        <w:spacing w:line="360" w:lineRule="auto"/>
        <w:ind w:left="-1"/>
        <w:rPr>
          <w:rFonts w:cs="Arial" w:asciiTheme="minorEastAsia" w:hAnsiTheme="minorEastAsia" w:eastAsiaTheme="minorEastAsia"/>
          <w:bCs/>
          <w:kern w:val="2"/>
          <w:sz w:val="24"/>
          <w:szCs w:val="24"/>
        </w:rPr>
      </w:pPr>
      <w:r>
        <w:rPr>
          <w:rFonts w:hint="eastAsia" w:cs="Arial" w:asciiTheme="minorEastAsia" w:hAnsiTheme="minorEastAsia" w:eastAsiaTheme="minorEastAsia"/>
          <w:bCs/>
          <w:kern w:val="2"/>
          <w:sz w:val="24"/>
          <w:szCs w:val="24"/>
        </w:rPr>
        <w:t>截至2021年12月31日，全市共录入《浙江省严重精神障碍信息管理系统》确诊为精神分裂症、分裂情感性障碍、偏执性精神障碍、双向情感障碍、癫痫所致精神障碍、精神发育迟滞伴发精神障碍6大类在册严重精神障碍患者8215人，根据省反馈的2017年常住人口数（1428498人）计算,我市严重精神障碍患者报告患病率5.75‰（达到健康浙江4.5‰的指标）。随访病人数8086人，管理率98.43%，按规范管理患者数7995人，规范管理率97.32％。最近一次随访服药患者数7965人，服药率96.96%，规律服药患者数7600人,规律服药率92.51%。精神分裂症在册患者5005人，精神分裂症患者中服药4822人，精神分裂症服药率为96.34%。面访患者数7894人，面访率96.09%。</w:t>
      </w:r>
    </w:p>
    <w:p>
      <w:pPr>
        <w:spacing w:after="0" w:line="360" w:lineRule="auto"/>
        <w:ind w:firstLine="200"/>
        <w:rPr>
          <w:rFonts w:asciiTheme="minorEastAsia" w:hAnsiTheme="minorEastAsia" w:eastAsiaTheme="minorEastAsia"/>
          <w:b/>
          <w:sz w:val="28"/>
          <w:szCs w:val="28"/>
        </w:rPr>
      </w:pPr>
      <w:r>
        <w:rPr>
          <w:rFonts w:hint="eastAsia" w:asciiTheme="minorEastAsia" w:hAnsiTheme="minorEastAsia" w:eastAsiaTheme="minorEastAsia"/>
          <w:b/>
          <w:sz w:val="28"/>
          <w:szCs w:val="28"/>
        </w:rPr>
        <w:t>2、经费来源</w:t>
      </w:r>
    </w:p>
    <w:p>
      <w:pPr>
        <w:pStyle w:val="10"/>
        <w:spacing w:before="0" w:after="0" w:line="360" w:lineRule="auto"/>
        <w:ind w:firstLine="480" w:firstLineChars="200"/>
        <w:jc w:val="left"/>
        <w:outlineLvl w:val="9"/>
        <w:rPr>
          <w:rFonts w:asciiTheme="minorEastAsia" w:hAnsiTheme="minorEastAsia"/>
          <w:b w:val="0"/>
          <w:color w:val="FF0000"/>
          <w:sz w:val="24"/>
          <w:szCs w:val="24"/>
        </w:rPr>
      </w:pPr>
      <w:r>
        <w:rPr>
          <w:rFonts w:hint="eastAsia" w:asciiTheme="minorEastAsia" w:hAnsiTheme="minorEastAsia"/>
          <w:b w:val="0"/>
          <w:sz w:val="24"/>
          <w:szCs w:val="24"/>
        </w:rPr>
        <w:t>按照《关于印发创建瑞安市省级慢性非传染性疾病综合防控示范区实施方案的通知》（瑞政办（2014)53号）和《浙江省慢性病综合防控示范区建设标准》要求，市政府将慢性病防控工作经费纳入政府年度预算、决算管理，县财政局按规划、计划提供示范区建设专项工作经费，专款专用。市疾控中心主要负责全市技术指导，宣传发动、社区诊断工具采购管理工作，按照其职能，市财政局每年划拨中央支付慢病经费和地方财政配套慢病经费给市疾控中心用于开展业务工作.</w:t>
      </w:r>
    </w:p>
    <w:p>
      <w:pPr>
        <w:spacing w:after="0" w:line="360" w:lineRule="auto"/>
        <w:ind w:firstLine="200"/>
        <w:rPr>
          <w:rFonts w:asciiTheme="minorEastAsia" w:hAnsiTheme="minorEastAsia" w:eastAsiaTheme="minorEastAsia"/>
          <w:b/>
          <w:sz w:val="28"/>
          <w:szCs w:val="28"/>
        </w:rPr>
      </w:pPr>
      <w:r>
        <w:rPr>
          <w:rFonts w:hint="eastAsia" w:asciiTheme="minorEastAsia" w:hAnsiTheme="minorEastAsia" w:eastAsiaTheme="minorEastAsia"/>
          <w:b/>
          <w:sz w:val="28"/>
          <w:szCs w:val="28"/>
        </w:rPr>
        <w:t>3、慢性病防控机构与人员</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市疾控中心将慢性病防控工作作为中心的一项重要内容开展，设立独立慢病科。慢病科共4人，平均年龄38岁，3本科1大专学历，2临床医学1预防医学1护理学专业；主要负责慢性非传染性疾病预防、控制技术制定，指导和组织实施；相关疾病信息收集和整理、统计分析、综合评价；相关疾病的流行病学调查及卫生学评价；居民病伤死因统计；4种慢性病的监测报告；承担中心交付的其他工作。</w:t>
      </w:r>
    </w:p>
    <w:p>
      <w:pPr>
        <w:pStyle w:val="10"/>
        <w:spacing w:before="0" w:after="0" w:line="360" w:lineRule="auto"/>
        <w:ind w:firstLine="480" w:firstLineChars="200"/>
        <w:jc w:val="left"/>
        <w:outlineLvl w:val="9"/>
        <w:rPr>
          <w:rFonts w:asciiTheme="minorEastAsia" w:hAnsiTheme="minorEastAsia"/>
          <w:b w:val="0"/>
          <w:sz w:val="24"/>
          <w:szCs w:val="24"/>
        </w:rPr>
      </w:pPr>
      <w:r>
        <w:rPr>
          <w:rFonts w:hint="eastAsia" w:asciiTheme="minorEastAsia" w:hAnsiTheme="minorEastAsia"/>
          <w:b w:val="0"/>
          <w:sz w:val="24"/>
          <w:szCs w:val="24"/>
        </w:rPr>
        <w:t>县级以上医疗机构主要负责慢性病的日常诊疗、疑难病人处理、死因监测和慢病报告等工作，同时选派专家组建市高血压防治专家组和糖尿病防治专家组，协助专业公共卫生机构开展慢性病管理和基层单位业务指导工作。</w:t>
      </w:r>
    </w:p>
    <w:p>
      <w:pPr>
        <w:pStyle w:val="10"/>
        <w:spacing w:before="0" w:after="0" w:line="360" w:lineRule="auto"/>
        <w:ind w:firstLine="480" w:firstLineChars="200"/>
        <w:jc w:val="left"/>
        <w:outlineLvl w:val="9"/>
        <w:rPr>
          <w:rFonts w:asciiTheme="minorEastAsia" w:hAnsiTheme="minorEastAsia"/>
          <w:color w:val="FF0000"/>
          <w:sz w:val="24"/>
          <w:szCs w:val="24"/>
        </w:rPr>
      </w:pPr>
      <w:r>
        <w:rPr>
          <w:rFonts w:hint="eastAsia" w:asciiTheme="minorEastAsia" w:hAnsiTheme="minorEastAsia"/>
          <w:b w:val="0"/>
          <w:sz w:val="24"/>
          <w:szCs w:val="24"/>
        </w:rPr>
        <w:t>各基层卫生院设立专门公共卫生科或者慢性病防制科负责慢性病防治工作，共配备人员69人。</w:t>
      </w:r>
    </w:p>
    <w:p>
      <w:pPr>
        <w:spacing w:after="0" w:line="360" w:lineRule="auto"/>
        <w:ind w:firstLine="200"/>
        <w:rPr>
          <w:rFonts w:asciiTheme="minorEastAsia" w:hAnsiTheme="minorEastAsia" w:eastAsiaTheme="minorEastAsia"/>
          <w:b/>
          <w:sz w:val="28"/>
          <w:szCs w:val="28"/>
        </w:rPr>
      </w:pPr>
      <w:r>
        <w:rPr>
          <w:rFonts w:hint="eastAsia" w:asciiTheme="minorEastAsia" w:hAnsiTheme="minorEastAsia" w:eastAsiaTheme="minorEastAsia"/>
          <w:b/>
          <w:sz w:val="28"/>
          <w:szCs w:val="28"/>
        </w:rPr>
        <w:t>4、医疗服务</w:t>
      </w:r>
    </w:p>
    <w:p>
      <w:pPr>
        <w:spacing w:after="0" w:line="360" w:lineRule="auto"/>
        <w:ind w:firstLine="480" w:firstLineChars="200"/>
        <w:rPr>
          <w:rFonts w:asciiTheme="minorEastAsia" w:hAnsiTheme="minorEastAsia" w:eastAsiaTheme="minorEastAsia"/>
          <w:sz w:val="24"/>
          <w:szCs w:val="24"/>
        </w:rPr>
      </w:pPr>
      <w:bookmarkStart w:id="27" w:name="_Toc364026679"/>
      <w:r>
        <w:rPr>
          <w:rFonts w:hint="eastAsia" w:asciiTheme="minorEastAsia" w:hAnsiTheme="minorEastAsia" w:eastAsiaTheme="minorEastAsia"/>
          <w:sz w:val="24"/>
          <w:szCs w:val="24"/>
        </w:rPr>
        <w:t>县级医疗机构开设高血压等慢性病专科门诊，定期下乡举办义诊，与乡镇卫生院建立双向转诊机制，实行35岁以上首诊测压和死因及慢病报告，提供妇女两癌筛查和儿童口腔干预。各镇卫生院均建立了糖尿病及高血压病患者自我管理小组，定期开展活动。</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乡镇卫生院提供基本医疗和基本公共卫生服务，基本公共卫生服务内容中慢病相关内容包括为居民建立家庭和个人档案，开展家庭医生签约，规范管理高血压、糖尿病、严重精神障碍等主要慢性病病人，发现和干预高危人群，对一般人群进行广泛宣传教育，多途径收集死亡和慢病信息并进行网络报告，实行HIS系统35岁以上首诊病人强制测压，设立自助检测点，指导高血压、糖尿病患者开展自我管理，为新农合参保人群提供健康体检，与上级医院合作开展远程会诊。</w:t>
      </w:r>
    </w:p>
    <w:bookmarkEnd w:id="27"/>
    <w:p>
      <w:pPr>
        <w:spacing w:after="0" w:line="360" w:lineRule="auto"/>
        <w:ind w:firstLine="480" w:firstLineChars="200"/>
        <w:rPr>
          <w:rFonts w:asciiTheme="minorEastAsia" w:hAnsiTheme="minorEastAsia" w:eastAsiaTheme="minorEastAsia"/>
          <w:sz w:val="24"/>
          <w:szCs w:val="24"/>
        </w:rPr>
      </w:pPr>
      <w:bookmarkStart w:id="28" w:name="_Toc364026680"/>
      <w:r>
        <w:rPr>
          <w:rFonts w:hint="eastAsia" w:asciiTheme="minorEastAsia" w:hAnsiTheme="minorEastAsia" w:eastAsiaTheme="minorEastAsia"/>
          <w:sz w:val="24"/>
          <w:szCs w:val="24"/>
          <w:lang w:eastAsia="zh-CN"/>
        </w:rPr>
        <w:t>截至目前</w:t>
      </w:r>
      <w:r>
        <w:rPr>
          <w:rFonts w:hint="eastAsia" w:asciiTheme="minorEastAsia" w:hAnsiTheme="minorEastAsia" w:eastAsiaTheme="minorEastAsia"/>
          <w:sz w:val="24"/>
          <w:szCs w:val="24"/>
        </w:rPr>
        <w:t>全市拥有卫健局所属事业单位74家，市级公立医院8家，股份制医院4家，乡镇及街道社区卫生服务中心26家，社区服务站21家，村卫生室253个，门诊部67个、个体诊所404个、医务室12个。医疗机构单位床位数4700张。全市医疗系统共有各类技术人员5591人。</w:t>
      </w:r>
    </w:p>
    <w:p>
      <w:pPr>
        <w:spacing w:after="0" w:line="360" w:lineRule="auto"/>
        <w:ind w:firstLine="200"/>
        <w:rPr>
          <w:rFonts w:asciiTheme="minorEastAsia" w:hAnsiTheme="minorEastAsia" w:eastAsiaTheme="minorEastAsia"/>
          <w:b/>
          <w:sz w:val="28"/>
          <w:szCs w:val="28"/>
        </w:rPr>
      </w:pPr>
      <w:r>
        <w:rPr>
          <w:rFonts w:hint="eastAsia" w:asciiTheme="minorEastAsia" w:hAnsiTheme="minorEastAsia" w:eastAsiaTheme="minorEastAsia"/>
          <w:b/>
          <w:sz w:val="28"/>
          <w:szCs w:val="28"/>
        </w:rPr>
        <w:t>5、健康支持性环境建设</w:t>
      </w:r>
    </w:p>
    <w:bookmarkEnd w:id="28"/>
    <w:p>
      <w:pPr>
        <w:spacing w:line="360" w:lineRule="auto"/>
        <w:ind w:firstLine="480" w:firstLineChars="200"/>
        <w:rPr>
          <w:rFonts w:asciiTheme="minorEastAsia" w:hAnsiTheme="minorEastAsia" w:eastAsiaTheme="minorEastAsia"/>
          <w:sz w:val="24"/>
          <w:szCs w:val="24"/>
        </w:rPr>
      </w:pPr>
      <w:bookmarkStart w:id="29" w:name="_Toc364026681"/>
      <w:r>
        <w:rPr>
          <w:rFonts w:hint="eastAsia" w:asciiTheme="minorEastAsia" w:hAnsiTheme="minorEastAsia" w:eastAsiaTheme="minorEastAsia"/>
          <w:sz w:val="24"/>
          <w:szCs w:val="24"/>
        </w:rPr>
        <w:t>截止2021年我市共建设了1941个健康支持性环境，包含105个健康社区、19个健康单位、149个健康学校（包含健康促进学校125家）、1605个健康家庭、15个健康食堂、18个健康餐厅/酒店、5个健康主题公园、3条健康步道、3条健康街区、50个自助检测点（含健康小屋19个）</w:t>
      </w:r>
      <w:r>
        <w:rPr>
          <w:rFonts w:hint="eastAsia" w:asciiTheme="minorEastAsia" w:hAnsiTheme="minorEastAsia" w:eastAsiaTheme="minorEastAsia"/>
          <w:color w:val="FF0000"/>
          <w:sz w:val="24"/>
        </w:rPr>
        <w:t>。</w:t>
      </w:r>
      <w:r>
        <w:rPr>
          <w:rFonts w:hint="eastAsia" w:asciiTheme="minorEastAsia" w:hAnsiTheme="minorEastAsia" w:eastAsiaTheme="minorEastAsia"/>
          <w:sz w:val="24"/>
          <w:szCs w:val="24"/>
        </w:rPr>
        <w:t>自助检测点主要为居民提供身高、体重、腰围、血压、血糖、人体成分、骨密度等免费自助检测项目。有专职医生辅助居民完成健康自测，自助体检数据记录到居民电子健康档案。期间有开展健康体重、减盐控压干预、万步有约等专项行动。</w:t>
      </w:r>
    </w:p>
    <w:p>
      <w:pPr>
        <w:spacing w:after="0" w:line="360" w:lineRule="auto"/>
        <w:ind w:firstLine="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市爱卫办积极开展公共区域禁烟、无烟单位创建工作，</w:t>
      </w:r>
      <w:r>
        <w:rPr>
          <w:rFonts w:hint="eastAsia" w:asciiTheme="minorEastAsia" w:hAnsiTheme="minorEastAsia" w:eastAsiaTheme="minorEastAsia"/>
          <w:sz w:val="24"/>
          <w:szCs w:val="24"/>
          <w:lang w:eastAsia="zh-CN"/>
        </w:rPr>
        <w:t>截至目前</w:t>
      </w:r>
      <w:r>
        <w:rPr>
          <w:rFonts w:hint="eastAsia" w:asciiTheme="minorEastAsia" w:hAnsiTheme="minorEastAsia" w:eastAsiaTheme="minorEastAsia"/>
          <w:sz w:val="24"/>
          <w:szCs w:val="24"/>
        </w:rPr>
        <w:t>瑞安市共创成通过验收无烟单位160家。</w:t>
      </w:r>
    </w:p>
    <w:bookmarkEnd w:id="26"/>
    <w:bookmarkEnd w:id="29"/>
    <w:p>
      <w:pPr>
        <w:spacing w:after="0" w:line="360" w:lineRule="auto"/>
        <w:ind w:firstLine="200"/>
        <w:rPr>
          <w:rFonts w:asciiTheme="minorEastAsia" w:hAnsiTheme="minorEastAsia" w:eastAsiaTheme="minorEastAsia"/>
          <w:b/>
          <w:sz w:val="28"/>
          <w:szCs w:val="28"/>
        </w:rPr>
      </w:pPr>
      <w:bookmarkStart w:id="30" w:name="_Toc364026672"/>
      <w:r>
        <w:rPr>
          <w:rFonts w:hint="eastAsia" w:asciiTheme="minorEastAsia" w:hAnsiTheme="minorEastAsia" w:eastAsiaTheme="minorEastAsia"/>
          <w:b/>
          <w:sz w:val="28"/>
          <w:szCs w:val="28"/>
        </w:rPr>
        <w:t>6、</w:t>
      </w:r>
      <w:r>
        <w:rPr>
          <w:rFonts w:asciiTheme="minorEastAsia" w:hAnsiTheme="minorEastAsia" w:eastAsiaTheme="minorEastAsia"/>
          <w:b/>
          <w:sz w:val="28"/>
          <w:szCs w:val="28"/>
        </w:rPr>
        <w:t>体育设施和健身环境</w:t>
      </w:r>
      <w:bookmarkEnd w:id="30"/>
      <w:r>
        <w:rPr>
          <w:rFonts w:hint="eastAsia" w:asciiTheme="minorEastAsia" w:hAnsiTheme="minorEastAsia" w:eastAsiaTheme="minorEastAsia"/>
          <w:b/>
          <w:color w:val="454545"/>
          <w:sz w:val="28"/>
          <w:szCs w:val="28"/>
        </w:rPr>
        <w:t>（数据来源瑞安市体育事业发展中心）</w:t>
      </w:r>
    </w:p>
    <w:p>
      <w:pPr>
        <w:pStyle w:val="10"/>
        <w:spacing w:before="0" w:after="0" w:line="360" w:lineRule="auto"/>
        <w:ind w:firstLine="200"/>
        <w:jc w:val="left"/>
        <w:outlineLvl w:val="9"/>
        <w:rPr>
          <w:rFonts w:asciiTheme="minorEastAsia" w:hAnsiTheme="minorEastAsia"/>
          <w:b w:val="0"/>
          <w:sz w:val="24"/>
          <w:szCs w:val="24"/>
        </w:rPr>
      </w:pPr>
      <w:bookmarkStart w:id="31" w:name="_Toc364026673"/>
      <w:r>
        <w:rPr>
          <w:rFonts w:hint="eastAsia" w:asciiTheme="minorEastAsia" w:hAnsiTheme="minorEastAsia"/>
          <w:b w:val="0"/>
          <w:sz w:val="24"/>
          <w:szCs w:val="24"/>
        </w:rPr>
        <w:t xml:space="preserve">我市现共有公共体育设施1239处，均全天免费开放。2019年我市人均体育场地面积2.22㎡，国民体质监测合格率93.7%；经常参加体育锻炼的人数（不含学生）比例为28.8%；体育发展中心与教育局联合开展2020年市级各类中小学生体育节比赛，进一步完善体育节项目设置，新增街舞、女足等体育比赛项目，让更多的学生参与体育竞技，享受体育的乐趣。目前全市已登记的3654个体育场所100%纳入全民健身地图，市民打开浙里办APP，即可直接查询身边的体育设施的开放时间、咨询电话、详细地址，并可以一键导航。近几年瑞安市打造了高品质的运动休闲品牌项目。创评省级运动休闲旅游优秀项目1个（奇云大漂流）。推进2021瑞安半程马拉松赛的举办，连续举办瑞安微马、露营大会、海钓赛等品牌赛事活动，其中瑞安微马自2005年开始已成功举办了15届，露营大会已连续5年举办。2020年市卫健局还与体育发展中心合作，在莘塍街道社区卫生服务中心设立瑞安市“体医融合”试点，为就诊市民提供自助体测服务。2020年还共同筹划了瑞安市中医院“体医融合”试点，该试点将借助各项指标的监测，为教练员科学训练教员提供依据和建议，防止训练过程中过度疲劳和运动损伤的发生。2020年瑞安市加快推进瑞安市体育馆三期工程（业余体校综合训练大楼）建设，为市民提供更加优质的运动场所，与此同时体育事业发展中心还完成了《瑞安市体育设施专项规划及五年行动计划》编制工作，深挖体育用地和空间资源，力促完善市、镇、村三级公共体育设施网络。加快推进体育类民生工程建设，启动实施“四提升四覆盖”全民健身工程评估工作，相继出台《瑞安市公共体育场地设施建设资金补助办法》等政策，挖掘利用旧厂房、城市边角地、高架桥下空间等低效土地，兴建多功能运动场等公共体育场地设施。今年完成体育类民生工程建设项目101个，其中包括5个足球场（含笼式足球场）、1个游泳池、51个百姓健身房、12条健身步道、15个社区多功能公共运动场、15个小康体育村升级工程、2个体育小公园，新增健身场地38.77万平方米。引导社会力量投资建设体育设施。出台《瑞安市公共体育场地设施建设资金补助办法》，该办法明确规定了各类公共体育场地设施的建设标准和补助标准。今年以来，共引入社会资金3000多万元，参与100多个体育设施项目建设。比如林川溪坦村登山步道，政府资金投入5万，引入社会资金150多万，撬动30倍社会资本。持续优化体育社会组织网络。强化市体育总会统领和服务职能，组织全市体育社会组织开展等级评先评优工作，推进体育社会组织的制度化、实体化、规范化建设，努力实现两新体育社会组织党组织全覆盖。通过向社会力量购买服务等方式提升各类体育社会组织活动承办能力和服务能力，把更多的赛事主（承）办权交给体育社会组织。2020年以来，我市已相继举办2020瑞安微马、温州市第五届全民运动休闲大会惠仁杯围棋比赛、浙江省农村文化礼堂运动会南部分站赛等市本级以上（含市本级）赛事活动65场，社会力量承办率达100%，直接参赛人员超3万人。2020年度体育健身公益培训12类项目也全部由社会力量承接，共培训78期，各类培训已惠及2000多人。今年的市本级以上（含市本级）群体赛事大部分由社会力量冠名举办，全年投入财政资金300多万元，筹措社会各类资金1200多万元，较好的发挥了政府资金的撬动作用。探索“体育+”融合发展。卫健局、体育发展事业中心、教育局、文广旅体局、体育培训机构等多部门联合，做到资源共用、成果共享。促使体教、体社、体医、体旅融合逐步走向常态化和规范化。2020年以来，利用瑞安各地山水资源特点，举办大罗山山地徒步越野大会、芳庄铁人二项赛、露营大会、北麂海钓节等丰富多彩的体育活动，通过各类体育赛事充分展示我市自然景观、人文景观。打造我市运动休闲品牌项目。调查摸底我市范围内运动休闲旅游项目及企业，指导创评省级运动休闲旅游优秀项目1个（奇云大漂流）。推进2021瑞安半程马拉松赛的举办，连续举办瑞安微马、露营大会、海钓赛等品牌赛事活动，其中瑞安微马自2005年开始已成功举办了15届，露营大会已连续5年举办。 </w:t>
      </w:r>
    </w:p>
    <w:p>
      <w:pPr>
        <w:pStyle w:val="10"/>
        <w:spacing w:before="0" w:after="0" w:line="360" w:lineRule="auto"/>
        <w:ind w:firstLine="200"/>
        <w:jc w:val="left"/>
        <w:outlineLvl w:val="9"/>
        <w:rPr>
          <w:rFonts w:asciiTheme="minorEastAsia" w:hAnsiTheme="minorEastAsia"/>
          <w:b w:val="0"/>
          <w:sz w:val="28"/>
          <w:szCs w:val="28"/>
        </w:rPr>
      </w:pPr>
      <w:r>
        <w:rPr>
          <w:rFonts w:hint="eastAsia" w:asciiTheme="minorEastAsia" w:hAnsiTheme="minorEastAsia"/>
          <w:sz w:val="28"/>
          <w:szCs w:val="28"/>
        </w:rPr>
        <w:t>7、</w:t>
      </w:r>
      <w:r>
        <w:rPr>
          <w:rFonts w:asciiTheme="minorEastAsia" w:hAnsiTheme="minorEastAsia"/>
          <w:sz w:val="28"/>
          <w:szCs w:val="28"/>
        </w:rPr>
        <w:t>环境改善状况</w:t>
      </w:r>
      <w:bookmarkEnd w:id="31"/>
      <w:r>
        <w:rPr>
          <w:rFonts w:hint="eastAsia" w:asciiTheme="minorEastAsia" w:hAnsiTheme="minorEastAsia"/>
          <w:sz w:val="28"/>
          <w:szCs w:val="28"/>
        </w:rPr>
        <w:t>（数据来源2021年瑞安年鉴）</w:t>
      </w:r>
    </w:p>
    <w:p>
      <w:pPr>
        <w:spacing w:after="0" w:line="360" w:lineRule="auto"/>
        <w:ind w:firstLine="480" w:firstLineChars="200"/>
        <w:rPr>
          <w:rFonts w:cs="Arial" w:asciiTheme="minorEastAsia" w:hAnsiTheme="minorEastAsia" w:eastAsiaTheme="minorEastAsia"/>
          <w:bCs/>
          <w:kern w:val="2"/>
          <w:sz w:val="24"/>
          <w:szCs w:val="24"/>
        </w:rPr>
      </w:pPr>
      <w:r>
        <w:rPr>
          <w:rFonts w:hint="eastAsia" w:cs="Arial" w:asciiTheme="minorEastAsia" w:hAnsiTheme="minorEastAsia" w:eastAsiaTheme="minorEastAsia"/>
          <w:bCs/>
          <w:kern w:val="2"/>
          <w:sz w:val="24"/>
          <w:szCs w:val="24"/>
        </w:rPr>
        <w:t>瑞安市以保障区域环境安全为核心，以改善环境质量为目标，打好污染防治攻坚战，推行特色行业整治、最严环境执法、美丽瑞安创建、环保领域改革、监管能力提升等重点工作，不断优化环境领域营商环境，取得显著成效一。以温州市第一名的成绩获得省五水共治</w:t>
      </w:r>
      <w:r>
        <w:rPr>
          <w:rFonts w:cs="Arial" w:asciiTheme="minorEastAsia" w:hAnsiTheme="minorEastAsia" w:eastAsiaTheme="minorEastAsia"/>
          <w:bCs/>
          <w:kern w:val="2"/>
          <w:sz w:val="24"/>
          <w:szCs w:val="24"/>
        </w:rPr>
        <w:t>“</w:t>
      </w:r>
      <w:r>
        <w:rPr>
          <w:rFonts w:hint="eastAsia" w:cs="Arial" w:asciiTheme="minorEastAsia" w:hAnsiTheme="minorEastAsia" w:eastAsiaTheme="minorEastAsia"/>
          <w:bCs/>
          <w:kern w:val="2"/>
          <w:sz w:val="24"/>
          <w:szCs w:val="24"/>
        </w:rPr>
        <w:t>大禹鼎</w:t>
      </w:r>
      <w:r>
        <w:rPr>
          <w:rFonts w:cs="Arial" w:asciiTheme="minorEastAsia" w:hAnsiTheme="minorEastAsia" w:eastAsiaTheme="minorEastAsia"/>
          <w:bCs/>
          <w:kern w:val="2"/>
          <w:sz w:val="24"/>
          <w:szCs w:val="24"/>
        </w:rPr>
        <w:t>”</w:t>
      </w:r>
      <w:r>
        <w:rPr>
          <w:rFonts w:hint="eastAsia" w:cs="Arial" w:asciiTheme="minorEastAsia" w:hAnsiTheme="minorEastAsia" w:eastAsiaTheme="minorEastAsia"/>
          <w:bCs/>
          <w:kern w:val="2"/>
          <w:sz w:val="24"/>
          <w:szCs w:val="24"/>
        </w:rPr>
        <w:t>。2020年瑞安市推进生态文明建设和生态环境保护，生态环境质量持续改善，被评为浙江省清新空气示范区。全市化学需氧量排放量比上年削减5.0%,氨氮排放量削减9.0%,二氧化硫排放量削减2.0%,氮氧化物排放量削减6.6%.全市市控平原河网主要污染物总磷、高锰酸盐指数平均浓度维持在III类及以上水质类别。氨氮平均浓度与上年基本持平。飞云江水质达标率100%。县级以上集中式饮用水源地水质达标率100%。市区环境空气质量优良以上天数达到363天，优良率99.2%。区域环境噪声指交通干线噪声平均值分别为54.9分贝，66.6分贝，基本保持稳定，全年未发生重大环境污染事故和因环境引发的重大群体性事件。</w:t>
      </w:r>
    </w:p>
    <w:p>
      <w:pPr>
        <w:spacing w:after="0" w:line="360" w:lineRule="auto"/>
        <w:ind w:firstLine="480" w:firstLineChars="200"/>
        <w:rPr>
          <w:rFonts w:cs="Arial" w:asciiTheme="minorEastAsia" w:hAnsiTheme="minorEastAsia" w:eastAsiaTheme="minorEastAsia"/>
          <w:bCs/>
          <w:kern w:val="2"/>
          <w:sz w:val="24"/>
          <w:szCs w:val="24"/>
        </w:rPr>
      </w:pPr>
    </w:p>
    <w:p>
      <w:pPr>
        <w:spacing w:after="0" w:line="360" w:lineRule="auto"/>
        <w:ind w:firstLine="562" w:firstLineChars="200"/>
        <w:rPr>
          <w:rFonts w:asciiTheme="minorEastAsia" w:hAnsiTheme="minorEastAsia" w:eastAsiaTheme="minorEastAsia"/>
          <w:b/>
          <w:color w:val="454545"/>
          <w:sz w:val="28"/>
          <w:szCs w:val="28"/>
        </w:rPr>
      </w:pPr>
      <w:r>
        <w:rPr>
          <w:rFonts w:hint="eastAsia" w:asciiTheme="minorEastAsia" w:hAnsiTheme="minorEastAsia" w:eastAsiaTheme="minorEastAsia"/>
          <w:b/>
          <w:color w:val="454545"/>
          <w:sz w:val="28"/>
          <w:szCs w:val="28"/>
        </w:rPr>
        <w:t>8、社会保障情况（数据来源2021年瑞安年鉴）</w:t>
      </w:r>
    </w:p>
    <w:p>
      <w:pPr>
        <w:pStyle w:val="9"/>
        <w:spacing w:before="0" w:beforeAutospacing="0" w:after="0" w:afterAutospacing="0" w:line="360" w:lineRule="auto"/>
        <w:ind w:firstLine="480" w:firstLineChars="200"/>
      </w:pPr>
      <w:r>
        <w:rPr>
          <w:rFonts w:hint="eastAsia"/>
        </w:rPr>
        <w:t>瑞安市城乡居民基本养老保险参保率95.1%；企业养老参保在缴人数400286人，领取待遇人数180114人； 机关事业参保在缴人数27527人，领取待遇人数10449人；城乡居保在缴人数54905人，领取待遇人,111985人。工伤保险月均参保455893人。</w:t>
      </w:r>
    </w:p>
    <w:p>
      <w:pPr>
        <w:spacing w:line="360" w:lineRule="auto"/>
        <w:ind w:firstLine="480" w:firstLineChars="200"/>
        <w:rPr>
          <w:rFonts w:asciiTheme="minorEastAsia" w:hAnsiTheme="minorEastAsia" w:eastAsiaTheme="minorEastAsia"/>
          <w:sz w:val="24"/>
          <w:szCs w:val="24"/>
        </w:rPr>
      </w:pPr>
    </w:p>
    <w:p>
      <w:pPr>
        <w:pStyle w:val="10"/>
        <w:spacing w:after="0" w:line="360" w:lineRule="auto"/>
        <w:rPr>
          <w:rFonts w:ascii="微软雅黑" w:hAnsi="微软雅黑" w:eastAsia="微软雅黑" w:cs="Times New Roman"/>
          <w:sz w:val="36"/>
          <w:szCs w:val="36"/>
        </w:rPr>
      </w:pPr>
      <w:r>
        <w:rPr>
          <w:rFonts w:hint="eastAsia" w:ascii="微软雅黑" w:hAnsi="微软雅黑" w:eastAsia="微软雅黑" w:cs="Times New Roman"/>
          <w:sz w:val="36"/>
          <w:szCs w:val="36"/>
        </w:rPr>
        <w:t>七、预期目标</w:t>
      </w:r>
    </w:p>
    <w:p>
      <w:pPr>
        <w:pStyle w:val="10"/>
        <w:spacing w:before="0" w:after="0" w:line="360" w:lineRule="auto"/>
        <w:jc w:val="left"/>
        <w:outlineLvl w:val="9"/>
        <w:rPr>
          <w:rFonts w:cs="Times New Roman" w:asciiTheme="minorEastAsia" w:hAnsiTheme="minorEastAsia"/>
        </w:rPr>
      </w:pPr>
      <w:r>
        <w:rPr>
          <w:rFonts w:hint="eastAsia" w:cs="Times New Roman" w:asciiTheme="minorEastAsia" w:hAnsiTheme="minorEastAsia"/>
        </w:rPr>
        <w:t>（一）、防控目标</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完善与我市全面小康社会和全新型城市化建设相适应的慢性病防治体系，提高群众健康水平与生命质量，遏制全市主要慢性非传染性疾病上升势头，降低慢性病危险因素的发生，减少因慢病导致的过早死亡和致残，延长居民健康期望寿命。</w:t>
      </w:r>
    </w:p>
    <w:p>
      <w:pPr>
        <w:spacing w:line="360" w:lineRule="auto"/>
        <w:ind w:left="118" w:firstLine="562" w:firstLineChars="200"/>
        <w:rPr>
          <w:rFonts w:asciiTheme="minorEastAsia" w:hAnsiTheme="minorEastAsia" w:eastAsiaTheme="minorEastAsia"/>
          <w:color w:val="000000"/>
          <w:sz w:val="24"/>
          <w:szCs w:val="24"/>
        </w:rPr>
      </w:pPr>
      <w:r>
        <w:rPr>
          <w:rFonts w:hint="eastAsia" w:cs="Times New Roman" w:asciiTheme="minorEastAsia" w:hAnsiTheme="minorEastAsia" w:eastAsiaTheme="minorEastAsia"/>
          <w:b/>
          <w:sz w:val="28"/>
          <w:szCs w:val="28"/>
        </w:rPr>
        <w:t xml:space="preserve">1.指导思想  </w:t>
      </w:r>
      <w:r>
        <w:rPr>
          <w:rFonts w:asciiTheme="minorEastAsia" w:hAnsiTheme="minorEastAsia" w:eastAsiaTheme="minorEastAsia"/>
          <w:sz w:val="24"/>
          <w:szCs w:val="24"/>
        </w:rPr>
        <w:t>以习近平新时代中国特色社会主义思想为指导，深入贯彻落实党的十九大精</w:t>
      </w:r>
      <w:r>
        <w:rPr>
          <w:rFonts w:asciiTheme="minorEastAsia" w:hAnsiTheme="minorEastAsia" w:eastAsiaTheme="minorEastAsia"/>
          <w:color w:val="000000"/>
          <w:sz w:val="24"/>
          <w:szCs w:val="24"/>
        </w:rPr>
        <w:t>神，坚持新时期卫生与健康工作方针，牢固树立“五大”发展理念，以控制慢性病危险因素、建设健康支持性环境为重点，以健康促进和健康管理为手段，提升全民健康素质，实现由以“疾病治疗为中心”向以“健康为中心”转变，促进全生命周期健康，提高居民健康期望寿命，为推进健康</w:t>
      </w:r>
      <w:r>
        <w:rPr>
          <w:rFonts w:hint="eastAsia" w:asciiTheme="minorEastAsia" w:hAnsiTheme="minorEastAsia" w:eastAsiaTheme="minorEastAsia"/>
          <w:color w:val="000000"/>
          <w:sz w:val="24"/>
          <w:szCs w:val="24"/>
        </w:rPr>
        <w:t>瑞安</w:t>
      </w:r>
      <w:r>
        <w:rPr>
          <w:rFonts w:asciiTheme="minorEastAsia" w:hAnsiTheme="minorEastAsia" w:eastAsiaTheme="minorEastAsia"/>
          <w:color w:val="000000"/>
          <w:sz w:val="24"/>
          <w:szCs w:val="24"/>
        </w:rPr>
        <w:t>建设奠定坚实基础。</w:t>
      </w:r>
    </w:p>
    <w:p>
      <w:pPr>
        <w:pStyle w:val="10"/>
        <w:spacing w:before="0" w:after="0" w:line="360" w:lineRule="auto"/>
        <w:ind w:firstLine="562" w:firstLineChars="200"/>
        <w:jc w:val="left"/>
        <w:outlineLvl w:val="9"/>
        <w:rPr>
          <w:rFonts w:cs="Times New Roman" w:asciiTheme="minorEastAsia" w:hAnsiTheme="minorEastAsia"/>
          <w:b w:val="0"/>
          <w:sz w:val="24"/>
          <w:szCs w:val="24"/>
        </w:rPr>
      </w:pPr>
      <w:r>
        <w:rPr>
          <w:rFonts w:hint="eastAsia" w:cs="Times New Roman" w:asciiTheme="minorEastAsia" w:hAnsiTheme="minorEastAsia"/>
          <w:sz w:val="28"/>
          <w:szCs w:val="28"/>
        </w:rPr>
        <w:t>2.总体目标</w:t>
      </w:r>
      <w:r>
        <w:rPr>
          <w:rFonts w:hint="eastAsia" w:cs="Times New Roman" w:asciiTheme="minorEastAsia" w:hAnsiTheme="minorEastAsia"/>
          <w:b w:val="0"/>
          <w:sz w:val="24"/>
          <w:szCs w:val="24"/>
        </w:rPr>
        <w:t>进一步完善政府主导、多部门合作、专业机构支持、全社会参与的慢性病综合防控工作机制，形成有利于慢性病防控的支持性环境，建立健全以社区为基础的慢性病防控工作网络，全面开展慢性病监测和风险评估，深入开展健康教育和行为干预，降低慢性病发病率和致残率，提高人口健康素质和生活质量。</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具体目标如下：</w:t>
      </w:r>
    </w:p>
    <w:p>
      <w:pPr>
        <w:pStyle w:val="10"/>
        <w:spacing w:before="0" w:after="0" w:line="360" w:lineRule="auto"/>
        <w:ind w:firstLine="482" w:firstLineChars="200"/>
        <w:jc w:val="left"/>
        <w:outlineLvl w:val="9"/>
        <w:rPr>
          <w:rFonts w:cs="Times New Roman" w:asciiTheme="minorEastAsia" w:hAnsiTheme="minorEastAsia"/>
          <w:sz w:val="24"/>
          <w:szCs w:val="24"/>
        </w:rPr>
      </w:pPr>
      <w:r>
        <w:rPr>
          <w:rFonts w:hint="eastAsia" w:cs="Times New Roman" w:asciiTheme="minorEastAsia" w:hAnsiTheme="minorEastAsia"/>
          <w:sz w:val="24"/>
          <w:szCs w:val="24"/>
        </w:rPr>
        <w:t>2.1防控工作机制建立健全</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2.1.1将慢性病防控工作列入经济社会发展规划</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①将慢性病防控工作纳入瑞安市国民经济和社会发展第十四个五年规划。建立市政府领导下的多部门合作机制，明确部门职责；不断巩固和完善浙江省慢性非传染性疾病综合防控示范区工作。</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②进一步明确全市慢性病防控目标、工作指标，将慢性病防控工作纳入政府相关部门目标责任制，建立健全覆盖全市政府部门、企事业单位和社会团体的协调运作机制，定期进行督导、考核。</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③完善我市慢性病综合防控工作机制和协调机制，使慢性病发病率和致残率得到有效控制，居民健康水平和生活质量得到提高。</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2.1.2制定实施有利于慢性病防控的政策标准</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①落实</w:t>
      </w:r>
      <w:r>
        <w:rPr>
          <w:rFonts w:hint="eastAsia" w:cs="方正小标宋简体" w:asciiTheme="minorEastAsia" w:hAnsiTheme="minorEastAsia"/>
          <w:b w:val="0"/>
          <w:bCs w:val="0"/>
          <w:sz w:val="24"/>
          <w:szCs w:val="24"/>
        </w:rPr>
        <w:t>瑞安市居民健康素养工作方案</w:t>
      </w:r>
      <w:r>
        <w:rPr>
          <w:rFonts w:hint="eastAsia" w:cs="Times New Roman" w:asciiTheme="minorEastAsia" w:hAnsiTheme="minorEastAsia"/>
          <w:b w:val="0"/>
          <w:sz w:val="24"/>
          <w:szCs w:val="24"/>
        </w:rPr>
        <w:t>，提高居民的健康知识知晓率和健康行为知晓率。</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②严格执行公共场所控烟规定，完善控制烟草的相关制度，积极创建各类无烟单位。</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③实施环境优化措施、进一步改善生活环境质量。</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④大力倡导全民健身运动，</w:t>
      </w:r>
      <w:r>
        <w:rPr>
          <w:rFonts w:hint="eastAsia" w:cs="Times New Roman" w:asciiTheme="minorEastAsia" w:hAnsiTheme="minorEastAsia"/>
          <w:b w:val="0"/>
          <w:color w:val="000000" w:themeColor="text1"/>
          <w:sz w:val="24"/>
          <w:szCs w:val="24"/>
        </w:rPr>
        <w:t>使居民经常参加体育锻炼人数的比例达到40%以上。</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⑤把慢性病防控的基本预防服务项目纳入医疗保险范畴。积极探索基本医疗保障基金对慢性病预防性医疗服务项目的投入问题。</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⑥把中医药服务融入健康教育、健康促进工作中，进一步发挥中医药在慢性病防控工作中的作用。</w:t>
      </w:r>
    </w:p>
    <w:p>
      <w:pPr>
        <w:pStyle w:val="10"/>
        <w:spacing w:before="0" w:after="0" w:line="360" w:lineRule="auto"/>
        <w:ind w:firstLine="480" w:firstLineChars="200"/>
        <w:jc w:val="left"/>
        <w:outlineLvl w:val="9"/>
        <w:rPr>
          <w:rFonts w:ascii="宋体" w:hAnsi="宋体" w:eastAsia="宋体" w:cs="仿宋_GB2312"/>
          <w:b w:val="0"/>
          <w:sz w:val="24"/>
          <w:szCs w:val="24"/>
        </w:rPr>
      </w:pPr>
      <w:r>
        <w:rPr>
          <w:rFonts w:hint="eastAsia" w:ascii="宋体" w:hAnsi="宋体" w:eastAsia="宋体" w:cs="Times New Roman"/>
          <w:b w:val="0"/>
          <w:sz w:val="24"/>
          <w:szCs w:val="24"/>
        </w:rPr>
        <w:t>⑦机关、企事业单位实行工间操健身制度</w:t>
      </w:r>
      <w:r>
        <w:rPr>
          <w:rFonts w:hint="eastAsia" w:ascii="宋体" w:hAnsi="宋体" w:eastAsia="宋体" w:cs="Times New Roman"/>
          <w:b w:val="0"/>
          <w:color w:val="FF0000"/>
          <w:sz w:val="24"/>
          <w:szCs w:val="24"/>
        </w:rPr>
        <w:t>，</w:t>
      </w:r>
      <w:r>
        <w:rPr>
          <w:rFonts w:hint="eastAsia" w:ascii="宋体" w:hAnsi="宋体" w:eastAsia="宋体" w:cs="仿宋_GB2312"/>
          <w:b w:val="0"/>
          <w:sz w:val="24"/>
          <w:szCs w:val="24"/>
        </w:rPr>
        <w:t>开展工间健身活动单位覆盖率≥</w:t>
      </w:r>
      <w:r>
        <w:rPr>
          <w:rFonts w:ascii="宋体" w:hAnsi="宋体" w:eastAsia="宋体" w:cs="仿宋_GB2312"/>
          <w:b w:val="0"/>
          <w:sz w:val="24"/>
          <w:szCs w:val="24"/>
        </w:rPr>
        <w:t>80%</w:t>
      </w:r>
      <w:r>
        <w:rPr>
          <w:rFonts w:hint="eastAsia" w:ascii="宋体" w:hAnsi="宋体" w:eastAsia="宋体" w:cs="Times New Roman"/>
          <w:b w:val="0"/>
          <w:sz w:val="24"/>
          <w:szCs w:val="24"/>
        </w:rPr>
        <w:t>;</w:t>
      </w:r>
      <w:r>
        <w:rPr>
          <w:rFonts w:hint="eastAsia" w:ascii="宋体" w:hAnsi="宋体" w:eastAsia="宋体" w:cs="仿宋_GB2312"/>
          <w:b w:val="0"/>
          <w:sz w:val="24"/>
          <w:szCs w:val="24"/>
        </w:rPr>
        <w:t>每</w:t>
      </w:r>
      <w:r>
        <w:rPr>
          <w:rFonts w:ascii="宋体" w:hAnsi="宋体" w:eastAsia="宋体" w:cs="仿宋_GB2312"/>
          <w:b w:val="0"/>
          <w:sz w:val="24"/>
          <w:szCs w:val="24"/>
        </w:rPr>
        <w:t>2</w:t>
      </w:r>
      <w:r>
        <w:rPr>
          <w:rFonts w:hint="eastAsia" w:ascii="宋体" w:hAnsi="宋体" w:eastAsia="宋体" w:cs="仿宋_GB2312"/>
          <w:b w:val="0"/>
          <w:sz w:val="24"/>
          <w:szCs w:val="24"/>
        </w:rPr>
        <w:t>年</w:t>
      </w:r>
      <w:r>
        <w:rPr>
          <w:rFonts w:ascii="宋体" w:hAnsi="宋体" w:eastAsia="宋体" w:cs="仿宋_GB2312"/>
          <w:b w:val="0"/>
          <w:sz w:val="24"/>
          <w:szCs w:val="24"/>
        </w:rPr>
        <w:t>1</w:t>
      </w:r>
      <w:r>
        <w:rPr>
          <w:rFonts w:hint="eastAsia" w:ascii="宋体" w:hAnsi="宋体" w:eastAsia="宋体" w:cs="仿宋_GB2312"/>
          <w:b w:val="0"/>
          <w:sz w:val="24"/>
          <w:szCs w:val="24"/>
        </w:rPr>
        <w:t>次体检并开展健康指导的机关事业单位和员工数超过</w:t>
      </w:r>
      <w:r>
        <w:rPr>
          <w:rFonts w:ascii="宋体" w:hAnsi="宋体" w:eastAsia="宋体" w:cs="仿宋_GB2312"/>
          <w:b w:val="0"/>
          <w:sz w:val="24"/>
          <w:szCs w:val="24"/>
        </w:rPr>
        <w:t>50</w:t>
      </w:r>
      <w:r>
        <w:rPr>
          <w:rFonts w:hint="eastAsia" w:ascii="宋体" w:hAnsi="宋体" w:eastAsia="宋体" w:cs="仿宋_GB2312"/>
          <w:b w:val="0"/>
          <w:sz w:val="24"/>
          <w:szCs w:val="24"/>
        </w:rPr>
        <w:t>人的企业的覆盖率≥</w:t>
      </w:r>
      <w:r>
        <w:rPr>
          <w:rFonts w:ascii="宋体" w:hAnsi="宋体" w:eastAsia="宋体" w:cs="仿宋_GB2312"/>
          <w:b w:val="0"/>
          <w:sz w:val="24"/>
          <w:szCs w:val="24"/>
        </w:rPr>
        <w:t>50%</w:t>
      </w:r>
      <w:r>
        <w:rPr>
          <w:rFonts w:hint="eastAsia" w:ascii="宋体" w:hAnsi="宋体" w:eastAsia="宋体" w:cs="仿宋_GB2312"/>
          <w:b w:val="0"/>
          <w:sz w:val="24"/>
          <w:szCs w:val="24"/>
        </w:rPr>
        <w:t>。</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⑧完善职业安全和卫生的政策、规定和各项标准。</w:t>
      </w:r>
    </w:p>
    <w:p>
      <w:pPr>
        <w:spacing w:line="360" w:lineRule="auto"/>
        <w:ind w:firstLine="480" w:firstLineChars="200"/>
        <w:rPr>
          <w:rFonts w:asciiTheme="minorEastAsia" w:hAnsiTheme="minorEastAsia" w:eastAsiaTheme="minorEastAsia"/>
          <w:color w:val="000000"/>
          <w:sz w:val="24"/>
          <w:szCs w:val="24"/>
        </w:rPr>
      </w:pPr>
      <w:r>
        <w:rPr>
          <w:rFonts w:hint="eastAsia" w:cs="Times New Roman" w:asciiTheme="minorEastAsia" w:hAnsiTheme="minorEastAsia" w:eastAsiaTheme="minorEastAsia"/>
          <w:sz w:val="24"/>
          <w:szCs w:val="24"/>
        </w:rPr>
        <w:t>⑨</w:t>
      </w:r>
      <w:r>
        <w:rPr>
          <w:rFonts w:hint="eastAsia" w:cs="仿宋_GB2312" w:asciiTheme="minorEastAsia" w:hAnsiTheme="minorEastAsia" w:eastAsiaTheme="minorEastAsia"/>
          <w:sz w:val="24"/>
          <w:szCs w:val="24"/>
        </w:rPr>
        <w:t>社区</w:t>
      </w:r>
      <w:r>
        <w:rPr>
          <w:rFonts w:cs="仿宋_GB2312" w:asciiTheme="minorEastAsia" w:hAnsiTheme="minorEastAsia" w:eastAsiaTheme="minorEastAsia"/>
          <w:sz w:val="24"/>
          <w:szCs w:val="24"/>
        </w:rPr>
        <w:t>15</w:t>
      </w:r>
      <w:r>
        <w:rPr>
          <w:rFonts w:hint="eastAsia" w:cs="仿宋_GB2312" w:asciiTheme="minorEastAsia" w:hAnsiTheme="minorEastAsia" w:eastAsiaTheme="minorEastAsia"/>
          <w:sz w:val="24"/>
          <w:szCs w:val="24"/>
        </w:rPr>
        <w:t>分钟健身圈/农村行政村体育设施覆盖率</w:t>
      </w:r>
      <w:r>
        <w:rPr>
          <w:rFonts w:cs="Arial" w:asciiTheme="minorEastAsia" w:hAnsiTheme="minorEastAsia" w:eastAsiaTheme="minorEastAsia"/>
          <w:sz w:val="24"/>
          <w:szCs w:val="24"/>
        </w:rPr>
        <w:t>≥</w:t>
      </w:r>
      <w:r>
        <w:rPr>
          <w:rFonts w:hint="eastAsia" w:cs="仿宋_GB2312" w:asciiTheme="minorEastAsia" w:hAnsiTheme="minorEastAsia" w:eastAsiaTheme="minorEastAsia"/>
          <w:sz w:val="24"/>
          <w:szCs w:val="24"/>
        </w:rPr>
        <w:t>10</w:t>
      </w:r>
      <w:r>
        <w:rPr>
          <w:rFonts w:cs="仿宋_GB2312" w:asciiTheme="minorEastAsia" w:hAnsiTheme="minorEastAsia" w:eastAsiaTheme="minorEastAsia"/>
          <w:sz w:val="24"/>
          <w:szCs w:val="24"/>
        </w:rPr>
        <w:t>0%</w:t>
      </w:r>
      <w:r>
        <w:rPr>
          <w:rFonts w:hint="eastAsia" w:asciiTheme="minorEastAsia" w:hAnsiTheme="minorEastAsia" w:eastAsiaTheme="minorEastAsia"/>
          <w:color w:val="000000"/>
          <w:sz w:val="24"/>
          <w:szCs w:val="24"/>
        </w:rPr>
        <w:t>;</w:t>
      </w:r>
      <w:r>
        <w:rPr>
          <w:rFonts w:hint="eastAsia" w:cs="仿宋_GB2312" w:asciiTheme="minorEastAsia" w:hAnsiTheme="minorEastAsia" w:eastAsiaTheme="minorEastAsia"/>
          <w:sz w:val="24"/>
          <w:szCs w:val="24"/>
        </w:rPr>
        <w:t>公共体育场地、设施免费或低收费开放比例</w:t>
      </w:r>
      <w:r>
        <w:rPr>
          <w:rFonts w:cs="仿宋_GB2312" w:asciiTheme="minorEastAsia" w:hAnsiTheme="minorEastAsia" w:eastAsiaTheme="minorEastAsia"/>
          <w:sz w:val="24"/>
          <w:szCs w:val="24"/>
        </w:rPr>
        <w:t>100%</w:t>
      </w:r>
      <w:r>
        <w:rPr>
          <w:rFonts w:hint="eastAsia" w:cs="仿宋_GB2312" w:asciiTheme="minorEastAsia" w:hAnsiTheme="minorEastAsia" w:eastAsiaTheme="minorEastAsia"/>
          <w:sz w:val="24"/>
          <w:szCs w:val="24"/>
        </w:rPr>
        <w:t>。</w:t>
      </w:r>
    </w:p>
    <w:p>
      <w:pPr>
        <w:pStyle w:val="10"/>
        <w:spacing w:before="0" w:after="0" w:line="360" w:lineRule="auto"/>
        <w:ind w:firstLine="482" w:firstLineChars="200"/>
        <w:jc w:val="left"/>
        <w:outlineLvl w:val="9"/>
        <w:rPr>
          <w:rFonts w:cs="Times New Roman" w:asciiTheme="minorEastAsia" w:hAnsiTheme="minorEastAsia"/>
          <w:sz w:val="24"/>
          <w:szCs w:val="24"/>
        </w:rPr>
      </w:pPr>
      <w:r>
        <w:rPr>
          <w:rFonts w:hint="eastAsia" w:cs="Times New Roman" w:asciiTheme="minorEastAsia" w:hAnsiTheme="minorEastAsia"/>
          <w:sz w:val="24"/>
          <w:szCs w:val="24"/>
        </w:rPr>
        <w:t>2.2 建立健全慢性病防控信息管理系统</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健全全市慢性病及其危险因素、人文环境的监测系统，完善居民健康状况评价指标体系，形成较为完善的慢性病防控工作评估体系。</w:t>
      </w:r>
    </w:p>
    <w:p>
      <w:pPr>
        <w:pStyle w:val="10"/>
        <w:spacing w:before="0" w:after="0" w:line="360" w:lineRule="auto"/>
        <w:ind w:firstLine="482" w:firstLineChars="200"/>
        <w:jc w:val="left"/>
        <w:outlineLvl w:val="9"/>
        <w:rPr>
          <w:rFonts w:cs="Times New Roman" w:asciiTheme="minorEastAsia" w:hAnsiTheme="minorEastAsia"/>
          <w:sz w:val="24"/>
          <w:szCs w:val="24"/>
        </w:rPr>
      </w:pPr>
      <w:r>
        <w:rPr>
          <w:rFonts w:hint="eastAsia" w:cs="Times New Roman" w:asciiTheme="minorEastAsia" w:hAnsiTheme="minorEastAsia"/>
          <w:sz w:val="24"/>
          <w:szCs w:val="24"/>
        </w:rPr>
        <w:t>2.3 完善以社区为基础的慢性病防控网络</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防治体系建设不断完善。健全人群死因、慢性病发病监测体系，提高监测质量，开展慢性病及危险因素监测；慢性病防控专业人员占疾控机构专业人员</w:t>
      </w:r>
      <w:r>
        <w:rPr>
          <w:rFonts w:hint="eastAsia" w:cs="Times New Roman" w:asciiTheme="minorEastAsia" w:hAnsiTheme="minorEastAsia"/>
          <w:b w:val="0"/>
          <w:color w:val="000000" w:themeColor="text1"/>
          <w:sz w:val="24"/>
          <w:szCs w:val="24"/>
        </w:rPr>
        <w:t>比例达 10%上</w:t>
      </w:r>
      <w:r>
        <w:rPr>
          <w:rFonts w:hint="eastAsia" w:cs="Times New Roman" w:asciiTheme="minorEastAsia" w:hAnsiTheme="minorEastAsia"/>
          <w:b w:val="0"/>
          <w:sz w:val="24"/>
          <w:szCs w:val="24"/>
        </w:rPr>
        <w:t>;完善乡镇、街道、村三级慢性病专病防治网络。</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①在全市范围内逐年增设健康指标自助检测点，逐步涵盖全市所有重要公共场所、乡镇、重点企业以及医疗服务场所，满足居民对自我健康指标检测的需求。</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②全市学校全面开展慢性病预防知识健康教育，全市有健康促进学校125家，无烟学校70家；。</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③全市的医疗机构均达到健康促进和健康教育医院标准。</w:t>
      </w:r>
    </w:p>
    <w:p>
      <w:pPr>
        <w:spacing w:line="360" w:lineRule="auto"/>
        <w:ind w:firstLine="480" w:firstLineChars="200"/>
        <w:rPr>
          <w:rFonts w:cs="Times New Roman" w:asciiTheme="minorEastAsia" w:hAnsiTheme="minorEastAsia" w:eastAsiaTheme="minorEastAsia"/>
          <w:bCs/>
          <w:kern w:val="2"/>
          <w:sz w:val="24"/>
          <w:szCs w:val="24"/>
        </w:rPr>
      </w:pPr>
      <w:r>
        <w:rPr>
          <w:rFonts w:hint="eastAsia" w:cs="Times New Roman" w:asciiTheme="minorEastAsia" w:hAnsiTheme="minorEastAsia" w:eastAsiaTheme="minorEastAsia"/>
          <w:bCs/>
          <w:kern w:val="2"/>
          <w:sz w:val="24"/>
          <w:szCs w:val="24"/>
        </w:rPr>
        <w:t>④2015年到2021年期间，我市共建设了1941个健康支持性环境，包含105个健康社区、19个健康单位、149个健康学校（包含健康促进学校125家）、1605个健康家庭、15个健康食堂、18个健康餐厅/酒店、5个健康主题公园、3条健康步道、3条健康街区、19个健康小屋。</w:t>
      </w:r>
    </w:p>
    <w:p>
      <w:pPr>
        <w:pStyle w:val="10"/>
        <w:spacing w:before="0" w:after="0" w:line="360" w:lineRule="auto"/>
        <w:ind w:firstLine="482" w:firstLineChars="200"/>
        <w:jc w:val="left"/>
        <w:outlineLvl w:val="9"/>
        <w:rPr>
          <w:rFonts w:cs="Times New Roman" w:asciiTheme="minorEastAsia" w:hAnsiTheme="minorEastAsia"/>
          <w:sz w:val="24"/>
          <w:szCs w:val="24"/>
        </w:rPr>
      </w:pPr>
      <w:r>
        <w:rPr>
          <w:rFonts w:hint="eastAsia" w:cs="Times New Roman" w:asciiTheme="minorEastAsia" w:hAnsiTheme="minorEastAsia"/>
          <w:sz w:val="24"/>
          <w:szCs w:val="24"/>
        </w:rPr>
        <w:t>2.4群众健康素养得到提高</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慢性病防控核心信息人群知晓率达70%以上；</w:t>
      </w:r>
      <w:r>
        <w:rPr>
          <w:rFonts w:hint="eastAsia" w:asciiTheme="minorEastAsia" w:hAnsiTheme="minorEastAsia" w:eastAsiaTheme="minorEastAsia"/>
          <w:color w:val="000000" w:themeColor="text1"/>
          <w:sz w:val="24"/>
          <w:szCs w:val="24"/>
        </w:rPr>
        <w:t>35岁以上成人血压、血糖和血脂知晓率分别达到70%、50%、30%以上；</w:t>
      </w:r>
      <w:r>
        <w:rPr>
          <w:rFonts w:hint="eastAsia" w:asciiTheme="minorEastAsia" w:hAnsiTheme="minorEastAsia" w:eastAsiaTheme="minorEastAsia"/>
          <w:color w:val="000000"/>
          <w:sz w:val="24"/>
          <w:szCs w:val="24"/>
        </w:rPr>
        <w:t>人均每日食盐摄入量降至9克以下；成年人吸烟率5年降低10%以上；居民健康素养水平达到25</w:t>
      </w:r>
      <w:r>
        <w:rPr>
          <w:rFonts w:hint="eastAsia" w:asciiTheme="minorEastAsia" w:hAnsiTheme="minorEastAsia" w:eastAsiaTheme="minorEastAsia"/>
          <w:color w:val="000000" w:themeColor="text1"/>
          <w:sz w:val="24"/>
          <w:szCs w:val="24"/>
        </w:rPr>
        <w:t>%。</w:t>
      </w:r>
    </w:p>
    <w:p>
      <w:pPr>
        <w:pStyle w:val="10"/>
        <w:spacing w:before="0" w:after="0" w:line="360" w:lineRule="auto"/>
        <w:ind w:firstLine="482" w:firstLineChars="200"/>
        <w:jc w:val="left"/>
        <w:outlineLvl w:val="9"/>
        <w:rPr>
          <w:rFonts w:cs="Times New Roman" w:asciiTheme="minorEastAsia" w:hAnsiTheme="minorEastAsia"/>
          <w:sz w:val="24"/>
          <w:szCs w:val="24"/>
        </w:rPr>
      </w:pPr>
      <w:r>
        <w:rPr>
          <w:rFonts w:hint="eastAsia" w:cs="Times New Roman" w:asciiTheme="minorEastAsia" w:hAnsiTheme="minorEastAsia"/>
          <w:sz w:val="24"/>
          <w:szCs w:val="24"/>
        </w:rPr>
        <w:t>2.5筛查干预范围逐渐拓展</w:t>
      </w:r>
    </w:p>
    <w:p>
      <w:pPr>
        <w:spacing w:line="360" w:lineRule="auto"/>
        <w:ind w:firstLine="480" w:firstLineChars="200"/>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成人、儿童青少年肥胖率分别控制在10%、8%以内；适龄儿童窝沟封闭覆盖率达80%以上，12岁儿童患龋率控制在25%以内。</w:t>
      </w:r>
    </w:p>
    <w:p>
      <w:pPr>
        <w:pStyle w:val="10"/>
        <w:spacing w:before="0" w:after="0" w:line="360" w:lineRule="auto"/>
        <w:ind w:firstLine="482" w:firstLineChars="200"/>
        <w:jc w:val="left"/>
        <w:outlineLvl w:val="9"/>
        <w:rPr>
          <w:rFonts w:cs="Times New Roman" w:asciiTheme="minorEastAsia" w:hAnsiTheme="minorEastAsia"/>
          <w:sz w:val="24"/>
          <w:szCs w:val="24"/>
        </w:rPr>
      </w:pPr>
      <w:r>
        <w:rPr>
          <w:rFonts w:hint="eastAsia" w:cs="Times New Roman" w:asciiTheme="minorEastAsia" w:hAnsiTheme="minorEastAsia"/>
          <w:sz w:val="24"/>
          <w:szCs w:val="24"/>
        </w:rPr>
        <w:t>2.6 慢病管理水平有效提升</w:t>
      </w:r>
    </w:p>
    <w:p>
      <w:pPr>
        <w:pStyle w:val="10"/>
        <w:spacing w:before="0" w:after="0" w:line="360" w:lineRule="auto"/>
        <w:ind w:firstLine="480" w:firstLineChars="200"/>
        <w:jc w:val="left"/>
        <w:outlineLvl w:val="9"/>
        <w:rPr>
          <w:rFonts w:asciiTheme="minorEastAsia" w:hAnsiTheme="minorEastAsia"/>
          <w:b w:val="0"/>
          <w:color w:val="000000"/>
          <w:kern w:val="0"/>
          <w:sz w:val="24"/>
          <w:szCs w:val="24"/>
        </w:rPr>
      </w:pPr>
      <w:r>
        <w:rPr>
          <w:rFonts w:hint="eastAsia" w:asciiTheme="minorEastAsia" w:hAnsiTheme="minorEastAsia"/>
          <w:b w:val="0"/>
          <w:color w:val="000000"/>
          <w:kern w:val="0"/>
          <w:sz w:val="24"/>
          <w:szCs w:val="24"/>
        </w:rPr>
        <w:t>高血压、糖尿病患者规范管理率达到70%，管理人群血压、血糖控制率达到60%；</w:t>
      </w:r>
      <w:r>
        <w:rPr>
          <w:rFonts w:hint="eastAsia" w:cs="仿宋_GB2312" w:asciiTheme="minorEastAsia" w:hAnsiTheme="minorEastAsia"/>
          <w:b w:val="0"/>
          <w:color w:val="000000" w:themeColor="text1"/>
          <w:kern w:val="0"/>
          <w:sz w:val="24"/>
        </w:rPr>
        <w:t>心脑血管疾病标化死亡率降至205.1/10万及以下</w:t>
      </w:r>
      <w:r>
        <w:rPr>
          <w:rFonts w:hint="eastAsia" w:asciiTheme="minorEastAsia" w:hAnsiTheme="minorEastAsia"/>
          <w:b w:val="0"/>
          <w:color w:val="000000" w:themeColor="text1"/>
          <w:kern w:val="0"/>
          <w:sz w:val="24"/>
          <w:szCs w:val="24"/>
        </w:rPr>
        <w:t>。</w:t>
      </w:r>
    </w:p>
    <w:p>
      <w:pPr>
        <w:pStyle w:val="10"/>
        <w:spacing w:before="0" w:after="0" w:line="360" w:lineRule="auto"/>
        <w:ind w:firstLine="643" w:firstLineChars="200"/>
        <w:jc w:val="left"/>
        <w:outlineLvl w:val="9"/>
        <w:rPr>
          <w:rFonts w:cs="Times New Roman" w:asciiTheme="minorEastAsia" w:hAnsiTheme="minorEastAsia"/>
        </w:rPr>
      </w:pPr>
      <w:r>
        <w:rPr>
          <w:rFonts w:hint="eastAsia" w:cs="Times New Roman" w:asciiTheme="minorEastAsia" w:hAnsiTheme="minorEastAsia"/>
        </w:rPr>
        <w:t>（二）、评价标准：包括过程性评价指标和效果指标</w:t>
      </w:r>
    </w:p>
    <w:p>
      <w:pPr>
        <w:pStyle w:val="10"/>
        <w:spacing w:before="0" w:after="0" w:line="360" w:lineRule="auto"/>
        <w:ind w:firstLine="480" w:firstLineChars="200"/>
        <w:jc w:val="left"/>
        <w:outlineLvl w:val="9"/>
        <w:rPr>
          <w:rFonts w:cs="Times New Roman" w:asciiTheme="minorEastAsia" w:hAnsiTheme="minorEastAsia"/>
          <w:b w:val="0"/>
          <w:color w:val="000000" w:themeColor="text1"/>
          <w:sz w:val="24"/>
          <w:szCs w:val="24"/>
        </w:rPr>
      </w:pPr>
      <w:r>
        <w:rPr>
          <w:rFonts w:hint="eastAsia" w:cs="Times New Roman" w:asciiTheme="minorEastAsia" w:hAnsiTheme="minorEastAsia"/>
          <w:b w:val="0"/>
          <w:color w:val="000000" w:themeColor="text1"/>
          <w:sz w:val="24"/>
          <w:szCs w:val="24"/>
        </w:rPr>
        <w:t>1. 社区健康教育活动开展：不少于4次／年，每次人数不少于50人。</w:t>
      </w:r>
    </w:p>
    <w:p>
      <w:pPr>
        <w:spacing w:line="360" w:lineRule="auto"/>
        <w:ind w:firstLine="480" w:firstLineChars="200"/>
        <w:rPr>
          <w:rFonts w:asciiTheme="minorEastAsia" w:hAnsiTheme="minorEastAsia" w:eastAsiaTheme="minorEastAsia"/>
          <w:color w:val="000000"/>
          <w:sz w:val="24"/>
          <w:szCs w:val="24"/>
        </w:rPr>
      </w:pPr>
      <w:r>
        <w:rPr>
          <w:rFonts w:hint="eastAsia" w:cs="Times New Roman" w:asciiTheme="minorEastAsia" w:hAnsiTheme="minorEastAsia"/>
          <w:color w:val="000000" w:themeColor="text1"/>
          <w:sz w:val="24"/>
          <w:szCs w:val="24"/>
        </w:rPr>
        <w:t>2.</w:t>
      </w:r>
      <w:r>
        <w:rPr>
          <w:rFonts w:hint="eastAsia" w:asciiTheme="minorEastAsia" w:hAnsiTheme="minorEastAsia" w:eastAsiaTheme="minorEastAsia"/>
          <w:color w:val="000000"/>
          <w:sz w:val="24"/>
          <w:szCs w:val="24"/>
        </w:rPr>
        <w:t xml:space="preserve"> 成人、儿童青少年肥胖率分别控制在10%、8%以内；适龄儿童窝沟封闭覆盖率达80%以上，12岁儿童患龋率控制在25%以内。</w:t>
      </w:r>
    </w:p>
    <w:p>
      <w:pPr>
        <w:pStyle w:val="10"/>
        <w:spacing w:before="0" w:after="0" w:line="360" w:lineRule="auto"/>
        <w:ind w:firstLine="480" w:firstLineChars="200"/>
        <w:jc w:val="left"/>
        <w:outlineLvl w:val="9"/>
        <w:rPr>
          <w:rFonts w:ascii="宋体" w:hAnsi="宋体" w:eastAsia="宋体" w:cs="仿宋_GB2312"/>
          <w:b w:val="0"/>
          <w:sz w:val="24"/>
          <w:szCs w:val="24"/>
        </w:rPr>
      </w:pPr>
      <w:r>
        <w:rPr>
          <w:rFonts w:hint="eastAsia" w:cs="Times New Roman" w:asciiTheme="minorEastAsia" w:hAnsiTheme="minorEastAsia"/>
          <w:b w:val="0"/>
          <w:color w:val="000000" w:themeColor="text1"/>
          <w:sz w:val="24"/>
          <w:szCs w:val="24"/>
        </w:rPr>
        <w:t>3.</w:t>
      </w:r>
      <w:r>
        <w:rPr>
          <w:rFonts w:hint="eastAsia" w:ascii="宋体" w:hAnsi="宋体" w:eastAsia="宋体" w:cs="Times New Roman"/>
          <w:b w:val="0"/>
          <w:sz w:val="24"/>
          <w:szCs w:val="24"/>
        </w:rPr>
        <w:t xml:space="preserve"> 机关、企事业单位实行工间操健身制度</w:t>
      </w:r>
      <w:r>
        <w:rPr>
          <w:rFonts w:hint="eastAsia" w:ascii="宋体" w:hAnsi="宋体" w:eastAsia="宋体" w:cs="Times New Roman"/>
          <w:b w:val="0"/>
          <w:color w:val="FF0000"/>
          <w:sz w:val="24"/>
          <w:szCs w:val="24"/>
        </w:rPr>
        <w:t>，</w:t>
      </w:r>
      <w:r>
        <w:rPr>
          <w:rFonts w:hint="eastAsia" w:ascii="宋体" w:hAnsi="宋体" w:eastAsia="宋体" w:cs="仿宋_GB2312"/>
          <w:b w:val="0"/>
          <w:sz w:val="24"/>
          <w:szCs w:val="24"/>
        </w:rPr>
        <w:t>开展工间健身活动单位覆盖率≥</w:t>
      </w:r>
      <w:r>
        <w:rPr>
          <w:rFonts w:ascii="宋体" w:hAnsi="宋体" w:eastAsia="宋体" w:cs="仿宋_GB2312"/>
          <w:b w:val="0"/>
          <w:sz w:val="24"/>
          <w:szCs w:val="24"/>
        </w:rPr>
        <w:t>80%</w:t>
      </w:r>
      <w:r>
        <w:rPr>
          <w:rFonts w:hint="eastAsia" w:ascii="宋体" w:hAnsi="宋体" w:eastAsia="宋体" w:cs="Times New Roman"/>
          <w:b w:val="0"/>
          <w:sz w:val="24"/>
          <w:szCs w:val="24"/>
        </w:rPr>
        <w:t>；</w:t>
      </w:r>
      <w:r>
        <w:rPr>
          <w:rFonts w:hint="eastAsia" w:cs="Times New Roman" w:asciiTheme="minorEastAsia" w:hAnsiTheme="minorEastAsia"/>
          <w:b w:val="0"/>
          <w:color w:val="000000" w:themeColor="text1"/>
          <w:sz w:val="24"/>
          <w:szCs w:val="24"/>
        </w:rPr>
        <w:t>每两年一次的机关、企事业单位职工体检覆盖率达50%以上。</w:t>
      </w:r>
    </w:p>
    <w:p>
      <w:pPr>
        <w:pStyle w:val="10"/>
        <w:spacing w:before="0" w:after="0" w:line="360" w:lineRule="auto"/>
        <w:ind w:firstLine="480" w:firstLineChars="200"/>
        <w:jc w:val="left"/>
        <w:outlineLvl w:val="9"/>
        <w:rPr>
          <w:rFonts w:cs="Times New Roman" w:asciiTheme="minorEastAsia" w:hAnsiTheme="minorEastAsia"/>
          <w:b w:val="0"/>
          <w:color w:val="000000" w:themeColor="text1"/>
          <w:sz w:val="24"/>
          <w:szCs w:val="24"/>
        </w:rPr>
      </w:pPr>
      <w:r>
        <w:rPr>
          <w:rFonts w:hint="eastAsia" w:cs="Times New Roman" w:asciiTheme="minorEastAsia" w:hAnsiTheme="minorEastAsia"/>
          <w:b w:val="0"/>
          <w:color w:val="000000" w:themeColor="text1"/>
          <w:sz w:val="24"/>
          <w:szCs w:val="24"/>
        </w:rPr>
        <w:t>4. 各级医疗机构35岁以上首诊测血压率≥99%,机构覆盖率100%。</w:t>
      </w:r>
    </w:p>
    <w:p>
      <w:pPr>
        <w:pStyle w:val="10"/>
        <w:spacing w:before="0" w:after="0" w:line="360" w:lineRule="auto"/>
        <w:ind w:firstLine="480" w:firstLineChars="200"/>
        <w:jc w:val="left"/>
        <w:outlineLvl w:val="9"/>
        <w:rPr>
          <w:rFonts w:cs="Times New Roman" w:asciiTheme="minorEastAsia" w:hAnsiTheme="minorEastAsia"/>
          <w:b w:val="0"/>
          <w:color w:val="000000" w:themeColor="text1"/>
          <w:sz w:val="24"/>
          <w:szCs w:val="24"/>
        </w:rPr>
      </w:pPr>
      <w:r>
        <w:rPr>
          <w:rFonts w:hint="eastAsia" w:cs="Times New Roman" w:asciiTheme="minorEastAsia" w:hAnsiTheme="minorEastAsia"/>
          <w:b w:val="0"/>
          <w:color w:val="000000" w:themeColor="text1"/>
          <w:sz w:val="24"/>
          <w:szCs w:val="24"/>
        </w:rPr>
        <w:t>5. 辖区常住人口管理率不低于60%,实现规范的电子健康档案管理≥90%。</w:t>
      </w:r>
    </w:p>
    <w:p>
      <w:pPr>
        <w:pStyle w:val="10"/>
        <w:spacing w:before="0" w:after="0" w:line="360" w:lineRule="auto"/>
        <w:ind w:firstLine="480" w:firstLineChars="200"/>
        <w:jc w:val="left"/>
        <w:outlineLvl w:val="9"/>
        <w:rPr>
          <w:rFonts w:asciiTheme="minorEastAsia" w:hAnsiTheme="minorEastAsia"/>
          <w:b w:val="0"/>
          <w:color w:val="000000"/>
          <w:kern w:val="0"/>
          <w:sz w:val="24"/>
          <w:szCs w:val="24"/>
        </w:rPr>
      </w:pPr>
      <w:r>
        <w:rPr>
          <w:rFonts w:hint="eastAsia" w:cs="Times New Roman" w:asciiTheme="minorEastAsia" w:hAnsiTheme="minorEastAsia"/>
          <w:b w:val="0"/>
          <w:color w:val="000000" w:themeColor="text1"/>
          <w:sz w:val="24"/>
          <w:szCs w:val="24"/>
        </w:rPr>
        <w:t>6. 高危人群管理率：</w:t>
      </w:r>
      <w:r>
        <w:rPr>
          <w:rFonts w:hint="eastAsia" w:asciiTheme="minorEastAsia" w:hAnsiTheme="minorEastAsia"/>
          <w:b w:val="0"/>
          <w:color w:val="000000"/>
          <w:kern w:val="0"/>
          <w:sz w:val="24"/>
          <w:szCs w:val="24"/>
        </w:rPr>
        <w:t>高血压、2型糖尿病高危人群健康管理率</w:t>
      </w:r>
      <w:r>
        <w:rPr>
          <w:rFonts w:hint="eastAsia" w:cs="Times New Roman" w:asciiTheme="minorEastAsia" w:hAnsiTheme="minorEastAsia"/>
          <w:b w:val="0"/>
          <w:color w:val="000000" w:themeColor="text1"/>
          <w:sz w:val="24"/>
          <w:szCs w:val="24"/>
        </w:rPr>
        <w:t>≥2%</w:t>
      </w:r>
      <w:r>
        <w:rPr>
          <w:rFonts w:hint="eastAsia" w:asciiTheme="minorEastAsia" w:hAnsiTheme="minorEastAsia"/>
          <w:b w:val="0"/>
          <w:color w:val="000000"/>
          <w:kern w:val="0"/>
          <w:sz w:val="24"/>
          <w:szCs w:val="24"/>
        </w:rPr>
        <w:t>；高血压、2型糖尿病高危人群规范管理率</w:t>
      </w:r>
      <w:r>
        <w:rPr>
          <w:rFonts w:hint="eastAsia" w:cs="Times New Roman" w:asciiTheme="minorEastAsia" w:hAnsiTheme="minorEastAsia"/>
          <w:b w:val="0"/>
          <w:color w:val="000000" w:themeColor="text1"/>
          <w:sz w:val="24"/>
          <w:szCs w:val="24"/>
        </w:rPr>
        <w:t>≥60%。</w:t>
      </w:r>
    </w:p>
    <w:p>
      <w:pPr>
        <w:pStyle w:val="10"/>
        <w:spacing w:before="0" w:after="0" w:line="360" w:lineRule="auto"/>
        <w:ind w:firstLine="480" w:firstLineChars="200"/>
        <w:jc w:val="left"/>
        <w:outlineLvl w:val="9"/>
        <w:rPr>
          <w:rFonts w:asciiTheme="minorEastAsia" w:hAnsiTheme="minorEastAsia"/>
          <w:b w:val="0"/>
          <w:color w:val="000000"/>
          <w:kern w:val="0"/>
          <w:sz w:val="24"/>
          <w:szCs w:val="24"/>
        </w:rPr>
      </w:pPr>
      <w:r>
        <w:rPr>
          <w:rFonts w:hint="eastAsia" w:cs="Times New Roman" w:asciiTheme="minorEastAsia" w:hAnsiTheme="minorEastAsia"/>
          <w:b w:val="0"/>
          <w:color w:val="000000" w:themeColor="text1"/>
          <w:sz w:val="24"/>
          <w:szCs w:val="24"/>
        </w:rPr>
        <w:t>7. 慢性病管理率：</w:t>
      </w:r>
      <w:r>
        <w:rPr>
          <w:rFonts w:hint="eastAsia" w:asciiTheme="minorEastAsia" w:hAnsiTheme="minorEastAsia"/>
          <w:b w:val="0"/>
          <w:color w:val="000000"/>
          <w:kern w:val="0"/>
          <w:sz w:val="24"/>
          <w:szCs w:val="24"/>
        </w:rPr>
        <w:t>高血压、糖尿病患者规范管理率达到70%，管理人群血压、血糖控制率达到60%；</w:t>
      </w:r>
      <w:r>
        <w:rPr>
          <w:rFonts w:hint="eastAsia" w:cs="仿宋_GB2312" w:asciiTheme="minorEastAsia" w:hAnsiTheme="minorEastAsia"/>
          <w:b w:val="0"/>
          <w:color w:val="000000" w:themeColor="text1"/>
          <w:kern w:val="0"/>
          <w:sz w:val="24"/>
        </w:rPr>
        <w:t>心脑血管疾病标化死亡率降至205.1/10万及以下</w:t>
      </w:r>
      <w:r>
        <w:rPr>
          <w:rFonts w:hint="eastAsia" w:asciiTheme="minorEastAsia" w:hAnsiTheme="minorEastAsia"/>
          <w:b w:val="0"/>
          <w:color w:val="000000" w:themeColor="text1"/>
          <w:kern w:val="0"/>
          <w:sz w:val="24"/>
          <w:szCs w:val="24"/>
        </w:rPr>
        <w:t>。</w:t>
      </w:r>
    </w:p>
    <w:p>
      <w:pPr>
        <w:pStyle w:val="10"/>
        <w:spacing w:before="0" w:after="0" w:line="360" w:lineRule="auto"/>
        <w:ind w:firstLine="480" w:firstLineChars="200"/>
        <w:jc w:val="left"/>
        <w:outlineLvl w:val="9"/>
        <w:rPr>
          <w:rFonts w:cs="Times New Roman" w:asciiTheme="minorEastAsia" w:hAnsiTheme="minorEastAsia"/>
          <w:b w:val="0"/>
          <w:color w:val="000000" w:themeColor="text1"/>
          <w:sz w:val="24"/>
          <w:szCs w:val="24"/>
        </w:rPr>
      </w:pPr>
      <w:r>
        <w:rPr>
          <w:rFonts w:hint="eastAsia" w:cs="Times New Roman" w:asciiTheme="minorEastAsia" w:hAnsiTheme="minorEastAsia"/>
          <w:b w:val="0"/>
          <w:color w:val="000000" w:themeColor="text1"/>
          <w:sz w:val="24"/>
          <w:szCs w:val="24"/>
        </w:rPr>
        <w:t>8. 患者自我管理小组每年开展活动不少于6次，有自我健康管理小组并规范开展的社区覆盖率达到5</w:t>
      </w:r>
      <w:r>
        <w:rPr>
          <w:rFonts w:cs="Times New Roman" w:asciiTheme="minorEastAsia" w:hAnsiTheme="minorEastAsia"/>
          <w:b w:val="0"/>
          <w:color w:val="000000" w:themeColor="text1"/>
          <w:sz w:val="24"/>
          <w:szCs w:val="24"/>
        </w:rPr>
        <w:t>0%</w:t>
      </w:r>
      <w:r>
        <w:rPr>
          <w:rFonts w:hint="eastAsia" w:cs="Times New Roman" w:asciiTheme="minorEastAsia" w:hAnsiTheme="minorEastAsia"/>
          <w:b w:val="0"/>
          <w:color w:val="000000" w:themeColor="text1"/>
          <w:sz w:val="24"/>
          <w:szCs w:val="24"/>
        </w:rPr>
        <w:t>。</w:t>
      </w:r>
    </w:p>
    <w:p>
      <w:pPr>
        <w:pStyle w:val="10"/>
        <w:spacing w:before="0" w:after="0" w:line="360" w:lineRule="auto"/>
        <w:ind w:firstLine="480" w:firstLineChars="200"/>
        <w:jc w:val="left"/>
        <w:outlineLvl w:val="9"/>
        <w:rPr>
          <w:rFonts w:cs="Times New Roman" w:asciiTheme="minorEastAsia" w:hAnsiTheme="minorEastAsia"/>
          <w:b w:val="0"/>
          <w:color w:val="000000" w:themeColor="text1"/>
          <w:sz w:val="24"/>
          <w:szCs w:val="24"/>
        </w:rPr>
      </w:pPr>
      <w:r>
        <w:rPr>
          <w:rFonts w:hint="eastAsia" w:cs="Times New Roman" w:asciiTheme="minorEastAsia" w:hAnsiTheme="minorEastAsia"/>
          <w:b w:val="0"/>
          <w:color w:val="000000" w:themeColor="text1"/>
          <w:sz w:val="24"/>
          <w:szCs w:val="24"/>
        </w:rPr>
        <w:t>9. 慢性病控制率：高血压病患者控制率≥60%,糖尿病患者控制率≥50%。</w:t>
      </w:r>
    </w:p>
    <w:p>
      <w:pPr>
        <w:spacing w:line="360" w:lineRule="auto"/>
        <w:ind w:firstLine="480" w:firstLineChars="200"/>
        <w:rPr>
          <w:rFonts w:asciiTheme="minorEastAsia" w:hAnsiTheme="minorEastAsia" w:eastAsiaTheme="minorEastAsia"/>
          <w:color w:val="000000"/>
          <w:sz w:val="24"/>
          <w:szCs w:val="24"/>
        </w:rPr>
      </w:pPr>
      <w:r>
        <w:rPr>
          <w:rFonts w:hint="eastAsia" w:cs="Times New Roman" w:asciiTheme="minorEastAsia" w:hAnsiTheme="minorEastAsia" w:eastAsiaTheme="minorEastAsia"/>
          <w:color w:val="000000" w:themeColor="text1"/>
          <w:sz w:val="24"/>
          <w:szCs w:val="24"/>
        </w:rPr>
        <w:t>10. 知识知晓率：</w:t>
      </w:r>
      <w:r>
        <w:rPr>
          <w:rFonts w:hint="eastAsia" w:asciiTheme="minorEastAsia" w:hAnsiTheme="minorEastAsia" w:eastAsiaTheme="minorEastAsia"/>
          <w:color w:val="000000"/>
          <w:sz w:val="24"/>
          <w:szCs w:val="24"/>
        </w:rPr>
        <w:t>慢性病防控核心信息人群知晓率达70%以上；</w:t>
      </w:r>
      <w:r>
        <w:rPr>
          <w:rFonts w:hint="eastAsia" w:asciiTheme="minorEastAsia" w:hAnsiTheme="minorEastAsia" w:eastAsiaTheme="minorEastAsia"/>
          <w:color w:val="000000" w:themeColor="text1"/>
          <w:sz w:val="24"/>
          <w:szCs w:val="24"/>
        </w:rPr>
        <w:t>35岁以上成人血压、血糖和血脂知晓率分别达到70%、50%、30%以上；</w:t>
      </w:r>
      <w:r>
        <w:rPr>
          <w:rFonts w:hint="eastAsia" w:asciiTheme="minorEastAsia" w:hAnsiTheme="minorEastAsia" w:eastAsiaTheme="minorEastAsia"/>
          <w:color w:val="000000"/>
          <w:sz w:val="24"/>
          <w:szCs w:val="24"/>
        </w:rPr>
        <w:t>人均每日食盐摄入量降至9克以下；成年人吸烟率5年降低10%以上；居民健康素养水平达到25</w:t>
      </w:r>
      <w:r>
        <w:rPr>
          <w:rFonts w:hint="eastAsia" w:asciiTheme="minorEastAsia" w:hAnsiTheme="minorEastAsia" w:eastAsiaTheme="minorEastAsia"/>
          <w:color w:val="000000" w:themeColor="text1"/>
          <w:sz w:val="24"/>
          <w:szCs w:val="24"/>
        </w:rPr>
        <w:t>%。</w:t>
      </w:r>
    </w:p>
    <w:p>
      <w:pPr>
        <w:spacing w:line="360" w:lineRule="auto"/>
        <w:ind w:firstLine="480" w:firstLineChars="200"/>
        <w:rPr>
          <w:rFonts w:cs="Times New Roman" w:asciiTheme="minorEastAsia" w:hAnsiTheme="minorEastAsia" w:eastAsiaTheme="minorEastAsia"/>
          <w:color w:val="000000" w:themeColor="text1"/>
          <w:sz w:val="24"/>
          <w:szCs w:val="24"/>
        </w:rPr>
      </w:pPr>
      <w:r>
        <w:rPr>
          <w:rFonts w:hint="eastAsia" w:cs="Times New Roman" w:asciiTheme="minorEastAsia" w:hAnsiTheme="minorEastAsia" w:eastAsiaTheme="minorEastAsia"/>
          <w:color w:val="000000" w:themeColor="text1"/>
          <w:sz w:val="24"/>
          <w:szCs w:val="24"/>
        </w:rPr>
        <w:t>11. 健康行为形成率：</w:t>
      </w:r>
      <w:r>
        <w:rPr>
          <w:rFonts w:hint="eastAsia" w:asciiTheme="minorEastAsia" w:hAnsiTheme="minorEastAsia" w:eastAsiaTheme="minorEastAsia"/>
          <w:color w:val="000000"/>
          <w:sz w:val="24"/>
          <w:szCs w:val="24"/>
        </w:rPr>
        <w:t>成年人吸烟率5年降低10%以上；人均每日食盐摄入量降至9克以下；人均每日食用油摄入量降至36克以下</w:t>
      </w:r>
      <w:r>
        <w:rPr>
          <w:rFonts w:hint="eastAsia" w:cs="Times New Roman" w:asciiTheme="minorEastAsia" w:hAnsiTheme="minorEastAsia" w:eastAsiaTheme="minorEastAsia"/>
          <w:color w:val="000000" w:themeColor="text1"/>
          <w:sz w:val="24"/>
          <w:szCs w:val="24"/>
        </w:rPr>
        <w:t>。</w:t>
      </w:r>
    </w:p>
    <w:p>
      <w:pPr>
        <w:pStyle w:val="10"/>
        <w:spacing w:after="0" w:line="360" w:lineRule="auto"/>
        <w:rPr>
          <w:rFonts w:ascii="微软雅黑" w:hAnsi="微软雅黑" w:eastAsia="微软雅黑" w:cs="Times New Roman"/>
          <w:sz w:val="36"/>
          <w:szCs w:val="36"/>
        </w:rPr>
      </w:pPr>
      <w:r>
        <w:rPr>
          <w:rFonts w:hint="eastAsia" w:ascii="微软雅黑" w:hAnsi="微软雅黑" w:eastAsia="微软雅黑" w:cs="Times New Roman"/>
          <w:sz w:val="36"/>
          <w:szCs w:val="36"/>
        </w:rPr>
        <w:t>八、主要对策与具体措施</w:t>
      </w:r>
    </w:p>
    <w:p>
      <w:pPr>
        <w:pStyle w:val="10"/>
        <w:spacing w:after="0" w:line="360" w:lineRule="auto"/>
        <w:jc w:val="left"/>
        <w:rPr>
          <w:rFonts w:cs="Times New Roman" w:asciiTheme="minorEastAsia" w:hAnsiTheme="minorEastAsia"/>
        </w:rPr>
      </w:pPr>
      <w:r>
        <w:rPr>
          <w:rFonts w:hint="eastAsia" w:cs="Times New Roman" w:asciiTheme="minorEastAsia" w:hAnsiTheme="minorEastAsia"/>
        </w:rPr>
        <w:t>（一）慢性病防控现状及主要问题</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在市政府的领导下，全市各有关部门认真贯彻落实国家、省、市慢性病防治工作政策和部署，坚持“预防为主，科学防治，高效推进”的工作方针，健全慢性病综合防控体系网络，积极开展慢性病监测和危险因素研究分析，广泛进行慢性病防控健康教育宣传和行为干预。不断加强高血压、糖尿病等慢性病防控的规范管理，强化健康教育和健康促进，大力倡导全民健康生活方式，促进居民身体健康，保障全县经济社会持续发展，维护社会稳定。目前，全县已建立以县卫健局为核心、市疾病预防控制中心为龙头，乡镇卫生院为枢纽，村卫生站为网底的慢性病三级防控网络，初步形成了政府主导、多部门合作、专业机构支持、全社会参与的慢性病综合防控工作格局。</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随着经济社会快速发展，人民生活水平不断提高，全县慢性病防控工作面临新问题和新挑战：</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1、慢性病对居民身体健康和生活质量的影响越来越突出。近10年来，高血压、糖尿病、脑卒中、冠心病和恶性肿瘤等慢性病发病率和死亡率明显增加，</w:t>
      </w:r>
    </w:p>
    <w:p>
      <w:pPr>
        <w:pStyle w:val="10"/>
        <w:spacing w:before="0" w:after="0" w:line="360" w:lineRule="auto"/>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慢性病已成为当前影响全县居民健康的主要疾病和导致死亡的主要因素。</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2、慢性病危险因素更加复杂多样。随着城市化进程，人民生活方式转变，除吸烟、过量饮酒、不合理膳食、缺乏体育锻炼等不良生活方式外，环境污染、</w:t>
      </w:r>
    </w:p>
    <w:p>
      <w:pPr>
        <w:pStyle w:val="10"/>
        <w:spacing w:before="0" w:after="0" w:line="360" w:lineRule="auto"/>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压力增大、精神紧张等也成为慢性病发生发展的不可忽略因素。</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3、慢性病综合防控机制有待进一步完善。慢性病防控工作是一项长期、复杂的社会系统工程，落实慢性病综合防控工作措施，必须要建立长期有效工作机制。</w:t>
      </w:r>
    </w:p>
    <w:p>
      <w:pPr>
        <w:pStyle w:val="10"/>
        <w:spacing w:before="0" w:after="0" w:line="360" w:lineRule="auto"/>
        <w:ind w:firstLine="643" w:firstLineChars="200"/>
        <w:jc w:val="left"/>
        <w:outlineLvl w:val="9"/>
        <w:rPr>
          <w:rFonts w:cs="Times New Roman" w:asciiTheme="minorEastAsia" w:hAnsiTheme="minorEastAsia"/>
        </w:rPr>
      </w:pPr>
      <w:r>
        <w:rPr>
          <w:rFonts w:hint="eastAsia" w:cs="Times New Roman" w:asciiTheme="minorEastAsia" w:hAnsiTheme="minorEastAsia"/>
        </w:rPr>
        <w:t>（二）慢性病防控重点人群</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1.通过疾病谱现状的分析，得出35-45岁人群是我市慢性病防控的重点人群，通过早期控制和预防高血压、糖尿病、高血脂，减少后期心脑血管疾病的发生和死亡；通过不良生活方式的改变，早筛查、早诊断、早治疗等措施，减少恶性肿瘤的发病和死亡。另一重点人群是15岁以下少儿，通过开展健康教育，</w:t>
      </w:r>
    </w:p>
    <w:p>
      <w:pPr>
        <w:pStyle w:val="10"/>
        <w:spacing w:before="0" w:after="0" w:line="360" w:lineRule="auto"/>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养成良好生活习惯，提高父母防护意识，落实学校管理制度，严格交通执法等措施预防和减少伤害的发生。对65岁以上老年人，防控重点则在减少慢性病导致的合并症和后遗症的发生。</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2.通过专项调查对行为危险因素的分析，得出15-35岁是我县居民形成不良生活习惯、开始出现危险因素的关键时期，应该加强对这一年龄段居民的健康教育和行为干预，其中在吸烟、饮酒、活动不足方面尤以男性为重点。而对全人群而言，膳食高盐、奶类摄入不足、慢性病相关知识知晓率不高是普遍存在的共性问题。高血压、糖尿病、脑卒中、肺癌是危害我县居民健康的主要慢性病。因此，将这四种疾病及其高危人群作为慢性病防控的重点人群。</w:t>
      </w:r>
    </w:p>
    <w:p>
      <w:pPr>
        <w:pStyle w:val="10"/>
        <w:spacing w:before="0" w:after="0" w:line="360" w:lineRule="auto"/>
        <w:ind w:firstLine="643" w:firstLineChars="200"/>
        <w:jc w:val="left"/>
        <w:outlineLvl w:val="9"/>
        <w:rPr>
          <w:rFonts w:cs="Times New Roman" w:asciiTheme="minorEastAsia" w:hAnsiTheme="minorEastAsia"/>
        </w:rPr>
      </w:pPr>
      <w:r>
        <w:rPr>
          <w:rFonts w:hint="eastAsia" w:cs="Times New Roman" w:asciiTheme="minorEastAsia" w:hAnsiTheme="minorEastAsia"/>
        </w:rPr>
        <w:t>（三）优先策略</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针对上述慢性病防控存在的主要问题和重点人群，提出以下优先策略。</w:t>
      </w:r>
    </w:p>
    <w:p>
      <w:pPr>
        <w:pStyle w:val="10"/>
        <w:spacing w:before="0" w:after="0" w:line="360" w:lineRule="auto"/>
        <w:ind w:firstLine="562" w:firstLineChars="200"/>
        <w:jc w:val="left"/>
        <w:outlineLvl w:val="9"/>
        <w:rPr>
          <w:rFonts w:cs="Times New Roman" w:asciiTheme="minorEastAsia" w:hAnsiTheme="minorEastAsia"/>
          <w:b w:val="0"/>
          <w:sz w:val="24"/>
          <w:szCs w:val="24"/>
        </w:rPr>
      </w:pPr>
      <w:r>
        <w:rPr>
          <w:rFonts w:hint="eastAsia" w:cs="Times New Roman" w:asciiTheme="minorEastAsia" w:hAnsiTheme="minorEastAsia"/>
          <w:sz w:val="28"/>
          <w:szCs w:val="28"/>
        </w:rPr>
        <w:t>1.全人群策略</w:t>
      </w:r>
      <w:r>
        <w:rPr>
          <w:rFonts w:hint="eastAsia" w:cs="Times New Roman" w:asciiTheme="minorEastAsia" w:hAnsiTheme="minorEastAsia"/>
          <w:b w:val="0"/>
          <w:sz w:val="28"/>
          <w:szCs w:val="28"/>
        </w:rPr>
        <w:t>：</w:t>
      </w:r>
      <w:r>
        <w:rPr>
          <w:rFonts w:hint="eastAsia" w:cs="Times New Roman" w:asciiTheme="minorEastAsia" w:hAnsiTheme="minorEastAsia"/>
          <w:b w:val="0"/>
          <w:sz w:val="24"/>
          <w:szCs w:val="24"/>
        </w:rPr>
        <w:t>主要采用健康促进的理论，强调以下几方面：</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1.1政策发展与环境支持：制定和完善相关政策、创造支持性环境，以提倡健康生活方式。减少全人群食盐的摄入和控制体重，促进慢性病的早期检出和治疗。</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1.2健康教育：在政府的支持和媒体配合下，对社区全人群开展多种形式的慢病防治的宣传和教育，如组织健康教育俱乐部，定期举办健康知识讲座、利用宣传栏、电子屏幕、影像资料或文字宣传材料等传播健康知识。</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1.3社区参与：以县乡村三级防控网络为基础，重心下沉、关口前移，多部门协作，动员全社区参与慢性病防治。</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1.4场所干预：根据医院、居民社区、工作场所、学校等不同场所的特点制定和实施慢性病的干预计划。</w:t>
      </w:r>
    </w:p>
    <w:p>
      <w:pPr>
        <w:pStyle w:val="10"/>
        <w:spacing w:before="0" w:after="0" w:line="360" w:lineRule="auto"/>
        <w:ind w:firstLine="562" w:firstLineChars="200"/>
        <w:jc w:val="left"/>
        <w:outlineLvl w:val="9"/>
        <w:rPr>
          <w:rFonts w:cs="Times New Roman" w:asciiTheme="minorEastAsia" w:hAnsiTheme="minorEastAsia"/>
          <w:b w:val="0"/>
          <w:sz w:val="24"/>
          <w:szCs w:val="24"/>
        </w:rPr>
      </w:pPr>
      <w:r>
        <w:rPr>
          <w:rFonts w:hint="eastAsia" w:cs="Times New Roman" w:asciiTheme="minorEastAsia" w:hAnsiTheme="minorEastAsia"/>
          <w:sz w:val="28"/>
          <w:szCs w:val="28"/>
        </w:rPr>
        <w:t>2.高危人群策略</w:t>
      </w:r>
      <w:r>
        <w:rPr>
          <w:rFonts w:hint="eastAsia" w:cs="Times New Roman" w:asciiTheme="minorEastAsia" w:hAnsiTheme="minorEastAsia"/>
          <w:b w:val="0"/>
          <w:sz w:val="28"/>
          <w:szCs w:val="28"/>
        </w:rPr>
        <w:t>：</w:t>
      </w:r>
      <w:r>
        <w:rPr>
          <w:rFonts w:hint="eastAsia" w:cs="Times New Roman" w:asciiTheme="minorEastAsia" w:hAnsiTheme="minorEastAsia"/>
          <w:b w:val="0"/>
          <w:sz w:val="24"/>
          <w:szCs w:val="24"/>
        </w:rPr>
        <w:t>主要强调早期发现和控制慢性病的危险因素，改变不良生活方式，预防慢性病的发生。</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2.1筛选高危人群：通过体检、日常诊疗、重点人群筛查、自助测等途径早期发现高危人群。</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2.2控制危险因素：开展场所干预，对高危个体进行随访管理和生活方式指导。</w:t>
      </w:r>
    </w:p>
    <w:p>
      <w:pPr>
        <w:pStyle w:val="10"/>
        <w:spacing w:before="0" w:after="0" w:line="360" w:lineRule="auto"/>
        <w:ind w:firstLine="562" w:firstLineChars="200"/>
        <w:jc w:val="left"/>
        <w:outlineLvl w:val="9"/>
        <w:rPr>
          <w:rFonts w:cs="Times New Roman" w:asciiTheme="minorEastAsia" w:hAnsiTheme="minorEastAsia"/>
          <w:b w:val="0"/>
          <w:sz w:val="24"/>
          <w:szCs w:val="24"/>
        </w:rPr>
      </w:pPr>
      <w:r>
        <w:rPr>
          <w:rFonts w:hint="eastAsia" w:cs="Times New Roman" w:asciiTheme="minorEastAsia" w:hAnsiTheme="minorEastAsia"/>
          <w:sz w:val="28"/>
          <w:szCs w:val="28"/>
        </w:rPr>
        <w:t>3.病例管理策略</w:t>
      </w:r>
      <w:r>
        <w:rPr>
          <w:rFonts w:hint="eastAsia" w:cs="Times New Roman" w:asciiTheme="minorEastAsia" w:hAnsiTheme="minorEastAsia"/>
          <w:b w:val="0"/>
          <w:sz w:val="28"/>
          <w:szCs w:val="28"/>
        </w:rPr>
        <w:t>：</w:t>
      </w:r>
      <w:r>
        <w:rPr>
          <w:rFonts w:hint="eastAsia" w:cs="Times New Roman" w:asciiTheme="minorEastAsia" w:hAnsiTheme="minorEastAsia"/>
          <w:b w:val="0"/>
          <w:sz w:val="24"/>
          <w:szCs w:val="24"/>
        </w:rPr>
        <w:t>强调慢性病的早诊早治，对慢性病病人规苑管理和监测。</w:t>
      </w:r>
    </w:p>
    <w:p>
      <w:pPr>
        <w:pStyle w:val="10"/>
        <w:spacing w:before="0" w:after="0" w:line="360" w:lineRule="auto"/>
        <w:ind w:firstLine="480" w:firstLineChars="200"/>
        <w:jc w:val="left"/>
        <w:outlineLvl w:val="9"/>
        <w:rPr>
          <w:rFonts w:cs="Times New Roman" w:asciiTheme="minorEastAsia" w:hAnsiTheme="minorEastAsia"/>
          <w:b w:val="0"/>
          <w:sz w:val="24"/>
          <w:szCs w:val="24"/>
        </w:rPr>
      </w:pPr>
      <w:r>
        <w:rPr>
          <w:rFonts w:hint="eastAsia" w:cs="Times New Roman" w:asciiTheme="minorEastAsia" w:hAnsiTheme="minorEastAsia"/>
          <w:b w:val="0"/>
          <w:sz w:val="24"/>
          <w:szCs w:val="24"/>
        </w:rPr>
        <w:t>3.1病例诊断：通过体检，日常诊疗、</w:t>
      </w:r>
      <w:r>
        <w:rPr>
          <w:rFonts w:hint="eastAsia" w:cs="Times New Roman" w:asciiTheme="minorEastAsia" w:hAnsiTheme="minorEastAsia"/>
          <w:b w:val="0"/>
          <w:sz w:val="24"/>
          <w:szCs w:val="24"/>
          <w:lang w:eastAsia="zh-CN"/>
        </w:rPr>
        <w:t>重点人群筛查</w:t>
      </w:r>
      <w:r>
        <w:rPr>
          <w:rFonts w:hint="eastAsia" w:cs="Times New Roman" w:asciiTheme="minorEastAsia" w:hAnsiTheme="minorEastAsia"/>
          <w:b w:val="0"/>
          <w:sz w:val="24"/>
          <w:szCs w:val="24"/>
        </w:rPr>
        <w:t>、自助栓測等途径早期发现慢性病患者。</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3.2规范化管理：依照国家和省制定的“规范”、“指南””依托基本公共卫生服务均等化、利用县级及以上专家技术优势，对慢性病患者进行建档、非药物干预、药物治疗、危险因素监测等。</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3.3自我管理：组建自我管理小组，发挥患者自身作用，在专业人员支持下推广自我管理。</w:t>
      </w:r>
    </w:p>
    <w:p>
      <w:pPr>
        <w:pStyle w:val="10"/>
        <w:spacing w:before="0" w:after="0" w:line="360" w:lineRule="auto"/>
        <w:ind w:firstLine="562" w:firstLineChars="200"/>
        <w:jc w:val="left"/>
        <w:outlineLvl w:val="9"/>
        <w:rPr>
          <w:rFonts w:ascii="宋体" w:hAnsi="宋体" w:eastAsia="宋体" w:cs="Times New Roman"/>
          <w:sz w:val="28"/>
          <w:szCs w:val="28"/>
        </w:rPr>
      </w:pPr>
      <w:r>
        <w:rPr>
          <w:rFonts w:hint="eastAsia" w:ascii="宋体" w:hAnsi="宋体" w:eastAsia="宋体" w:cs="Times New Roman"/>
          <w:sz w:val="28"/>
          <w:szCs w:val="28"/>
        </w:rPr>
        <w:t>4.三级预防策略</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4.1一级预防：通过改善环境、改善人的卫生行为、生活方式，减少危险因素的暴露。</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4.2二级预防：在慢性病的临床早期及时采取早发现、早诊断、早治疗的预防措施，采取普查、筛查、体检等措施早期发现病人，对已患病病人采取早期、合理用药等措施，防止疾病进一步发展。</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4.3三级预防：采取防复发转移、康复等措施，防止导致失能，促进功能改善或恢复。</w:t>
      </w:r>
    </w:p>
    <w:p>
      <w:pPr>
        <w:pStyle w:val="10"/>
        <w:spacing w:before="0" w:after="0" w:line="360" w:lineRule="auto"/>
        <w:ind w:firstLine="562" w:firstLineChars="200"/>
        <w:jc w:val="left"/>
        <w:outlineLvl w:val="9"/>
        <w:rPr>
          <w:rFonts w:ascii="宋体" w:hAnsi="宋体" w:eastAsia="宋体" w:cs="Times New Roman"/>
          <w:sz w:val="28"/>
          <w:szCs w:val="28"/>
        </w:rPr>
      </w:pPr>
      <w:r>
        <w:rPr>
          <w:rFonts w:hint="eastAsia" w:ascii="宋体" w:hAnsi="宋体" w:eastAsia="宋体" w:cs="Times New Roman"/>
          <w:sz w:val="28"/>
          <w:szCs w:val="28"/>
        </w:rPr>
        <w:t>5.健康促进策略</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5.1制订健康的公共政策：政府以及多部门制订有关政策，促进人们做出更有利健康的选择。</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5.2营造健康支持性环境。</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5.3发展个人技能。</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5.4加强社区行动：充分发挥社区的力量，挖掘社区的资源，使之积极有效地参与健康促进活动计划的制订与执行。</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5.5强化公共卫生职能。</w:t>
      </w:r>
    </w:p>
    <w:p>
      <w:pPr>
        <w:pStyle w:val="10"/>
        <w:spacing w:before="0" w:after="0" w:line="360" w:lineRule="auto"/>
        <w:ind w:firstLine="643" w:firstLineChars="200"/>
        <w:jc w:val="left"/>
        <w:outlineLvl w:val="9"/>
        <w:rPr>
          <w:rFonts w:cs="Times New Roman" w:asciiTheme="minorEastAsia" w:hAnsiTheme="minorEastAsia"/>
        </w:rPr>
      </w:pPr>
      <w:r>
        <w:rPr>
          <w:rFonts w:hint="eastAsia" w:cs="Times New Roman" w:asciiTheme="minorEastAsia" w:hAnsiTheme="minorEastAsia"/>
        </w:rPr>
        <w:t>（四）行动措施及建议</w:t>
      </w:r>
    </w:p>
    <w:p>
      <w:pPr>
        <w:pStyle w:val="10"/>
        <w:spacing w:before="0" w:after="0" w:line="360" w:lineRule="auto"/>
        <w:ind w:firstLine="562" w:firstLineChars="200"/>
        <w:jc w:val="left"/>
        <w:outlineLvl w:val="9"/>
        <w:rPr>
          <w:rFonts w:ascii="宋体" w:hAnsi="宋体" w:eastAsia="宋体" w:cs="Times New Roman"/>
          <w:sz w:val="28"/>
          <w:szCs w:val="28"/>
        </w:rPr>
      </w:pPr>
      <w:r>
        <w:rPr>
          <w:rFonts w:hint="eastAsia" w:ascii="宋体" w:hAnsi="宋体" w:eastAsia="宋体" w:cs="Times New Roman"/>
          <w:sz w:val="28"/>
          <w:szCs w:val="28"/>
        </w:rPr>
        <w:t>1.行动措施</w:t>
      </w:r>
    </w:p>
    <w:p>
      <w:pPr>
        <w:pStyle w:val="10"/>
        <w:spacing w:before="0" w:after="0" w:line="360" w:lineRule="auto"/>
        <w:ind w:firstLine="482" w:firstLineChars="200"/>
        <w:jc w:val="left"/>
        <w:outlineLvl w:val="9"/>
        <w:rPr>
          <w:rFonts w:ascii="宋体" w:hAnsi="宋体" w:eastAsia="宋体" w:cs="Times New Roman"/>
          <w:b w:val="0"/>
          <w:sz w:val="24"/>
          <w:szCs w:val="24"/>
        </w:rPr>
      </w:pPr>
      <w:r>
        <w:rPr>
          <w:rFonts w:hint="eastAsia" w:ascii="宋体" w:hAnsi="宋体" w:eastAsia="宋体" w:cs="Times New Roman"/>
          <w:sz w:val="24"/>
          <w:szCs w:val="24"/>
        </w:rPr>
        <w:t>1.1明确职责分工，完善慢性病防治机制。</w:t>
      </w:r>
      <w:r>
        <w:rPr>
          <w:rFonts w:hint="eastAsia" w:ascii="宋体" w:hAnsi="宋体" w:eastAsia="宋体" w:cs="Times New Roman"/>
          <w:b w:val="0"/>
          <w:sz w:val="24"/>
          <w:szCs w:val="24"/>
        </w:rPr>
        <w:t>各级政府把慢病防治工作列入议事日程、明确部门职责，制定相关政策，统筹落实和安排慢性病防治经费，领导、协调多部门开展慢性病防治工作，组织落实各项防治措施，开展慢病示范镇、街道创建工作。结合国家卫生城市复评等工作，推进慢病管理进一步规范。卫生部门继续将慢性病防治工作纳入对医疗卫生机构责任制考核目标，作为基本公共卫生项目考核重要内容，实行一票否决；统筹配置区域医疗卫生资源，完善城乡社区卫生服务机构与县级以上医院间双向转诊机制；建立完善现有的城乡社区卫生服务机构与县级医院间的技术指导机制，通过对口帮扶、巡回诊疗、培训进修、技术支持等方式，全面提升城乡社区卫生服务机构慢性病防治能力。依托省基本公共卫生服务平台，加快区域信息化建设提升改造电子健康档案系统和医院信息系统的对接，开发高危人群管理等个性化模块，使之满足我县防治新需求。</w:t>
      </w:r>
    </w:p>
    <w:p>
      <w:pPr>
        <w:pStyle w:val="10"/>
        <w:spacing w:before="0" w:after="0" w:line="360" w:lineRule="auto"/>
        <w:ind w:firstLine="482" w:firstLineChars="200"/>
        <w:jc w:val="left"/>
        <w:outlineLvl w:val="9"/>
        <w:rPr>
          <w:rFonts w:ascii="宋体" w:hAnsi="宋体" w:eastAsia="宋体" w:cs="Times New Roman"/>
          <w:b w:val="0"/>
          <w:sz w:val="24"/>
          <w:szCs w:val="24"/>
        </w:rPr>
      </w:pPr>
      <w:r>
        <w:rPr>
          <w:rFonts w:hint="eastAsia" w:ascii="宋体" w:hAnsi="宋体" w:eastAsia="宋体" w:cs="Times New Roman"/>
          <w:sz w:val="24"/>
          <w:szCs w:val="24"/>
        </w:rPr>
        <w:t>1.2.广泛开展健康宣教，提高慢性病防治意识。</w:t>
      </w:r>
      <w:r>
        <w:rPr>
          <w:rFonts w:hint="eastAsia" w:ascii="宋体" w:hAnsi="宋体" w:eastAsia="宋体" w:cs="Times New Roman"/>
          <w:b w:val="0"/>
          <w:sz w:val="24"/>
          <w:szCs w:val="24"/>
        </w:rPr>
        <w:t>全面实施全民健康促进行动，充分发挥报纸、广播、电视、网络等大众媒体作用，积极组途建康教育专家团、讲师团和志愿者宣教团，切实加强公共场所、城乡社区、医疗机构、各类学校等重点区域的健康教育阵地建设。，大力推进健康促进学校、健康促进医院创建。通过舆论宣传活动、健康素养巡讲活动、卫生宣传日活动，防病知识普及活动等群众喜闻乐见、形式多样、内容丰富的活动，普及慢性病防治知识，促使人们赤成良好的健康行为和生活方式。针对重点人群，利用健康咨询、健康处方、专题讲座等形式普及健康知识、主要媒体通过健康专栏科学传递慢性</w:t>
      </w:r>
    </w:p>
    <w:p>
      <w:pPr>
        <w:pStyle w:val="10"/>
        <w:spacing w:before="0" w:after="0" w:line="360" w:lineRule="auto"/>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病防治知识。宣传部门、新闻单位等将慢性病防治知识宣传作为健康知识传播的重要内容，纳入互联网和公益宣传计划，坚持经常性宣传和集中宣传相结合，引导群众形成健康的生活方式。教育部门将慢性病防控作为健康促进学校创建的重要内容。各级工会、共青团、妇联、科协、工商联、老龄委和各类社会学术团体发挥各自优势，按照规范信息，有组织地开展公益宣传和社会动员活动。</w:t>
      </w:r>
    </w:p>
    <w:p>
      <w:pPr>
        <w:pStyle w:val="10"/>
        <w:spacing w:before="0" w:after="0" w:line="360" w:lineRule="auto"/>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机关、企事业单位结合自身特点做好相应宣教工作。</w:t>
      </w:r>
    </w:p>
    <w:p>
      <w:pPr>
        <w:pStyle w:val="10"/>
        <w:spacing w:before="0" w:after="0" w:line="360" w:lineRule="auto"/>
        <w:ind w:firstLine="482" w:firstLineChars="200"/>
        <w:jc w:val="left"/>
        <w:outlineLvl w:val="9"/>
        <w:rPr>
          <w:rFonts w:ascii="宋体" w:hAnsi="宋体" w:eastAsia="宋体" w:cs="Times New Roman"/>
          <w:b w:val="0"/>
          <w:sz w:val="24"/>
          <w:szCs w:val="24"/>
        </w:rPr>
      </w:pPr>
      <w:r>
        <w:rPr>
          <w:rFonts w:hint="eastAsia" w:ascii="宋体" w:hAnsi="宋体" w:eastAsia="宋体" w:cs="Times New Roman"/>
          <w:sz w:val="24"/>
          <w:szCs w:val="24"/>
        </w:rPr>
        <w:t xml:space="preserve"> 1.3.完善政策措施，控制慢性病危险因素。</w:t>
      </w:r>
      <w:r>
        <w:rPr>
          <w:rFonts w:hint="eastAsia" w:ascii="宋体" w:hAnsi="宋体" w:eastAsia="宋体" w:cs="Times New Roman"/>
          <w:b w:val="0"/>
          <w:sz w:val="24"/>
          <w:szCs w:val="24"/>
        </w:rPr>
        <w:t>深入推进全民健康生活方式行动，建设健康步道、健康主题公园，开展健康单位等创建。制订落实有利于健康的公共政策措施，促进有利于慢性病防治的社会、经济、文化和市场环境形成。切实加强烟草控制工作。根据《广东省爱国卫生工作条例》相关要求，制定公共场所控制吸烟规定，继续加大控烟宣传教育力度，严禁向未成年人销售烟草，全面推行公共场所禁烟，在无烟医疗卫生机构基础上，党政机关、教育机构等率先成为无烟单位：鼓励医疗机构设立规范的戒烟门诊，提供临床戒烟服务，加强对医务人员的培训，提高戒烟服务能力和水平。宣传过量饮酒的危</w:t>
      </w:r>
    </w:p>
    <w:p>
      <w:pPr>
        <w:pStyle w:val="10"/>
        <w:spacing w:before="0" w:after="0" w:line="360" w:lineRule="auto"/>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害，开展心理健康教育、普及心理健康知识。</w:t>
      </w:r>
    </w:p>
    <w:p>
      <w:pPr>
        <w:pStyle w:val="10"/>
        <w:spacing w:before="0" w:after="0" w:line="360" w:lineRule="auto"/>
        <w:ind w:firstLine="480" w:firstLineChars="200"/>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逐步完善公共营养政策，普及营养标签、油盐摄入标准等核心知识。体育部门加强群众性体育活动的科学指导，提高各类公共体育设施的开放程度和利用率；教育部门落实中小学生在校期间每天至少参加1小时的体育锻炼活动；环境保护部门加强环境质量监测与评价，强化环境污染综合治理；工会加大对职工体育锻炼习惯的干预、多种形式组织活动；扩大机关、企事业单位落实工</w:t>
      </w:r>
    </w:p>
    <w:p>
      <w:pPr>
        <w:pStyle w:val="10"/>
        <w:spacing w:before="0" w:after="0" w:line="360" w:lineRule="auto"/>
        <w:jc w:val="left"/>
        <w:outlineLvl w:val="9"/>
        <w:rPr>
          <w:rFonts w:ascii="宋体" w:hAnsi="宋体" w:eastAsia="宋体" w:cs="Times New Roman"/>
          <w:b w:val="0"/>
          <w:sz w:val="24"/>
          <w:szCs w:val="24"/>
        </w:rPr>
      </w:pPr>
      <w:r>
        <w:rPr>
          <w:rFonts w:hint="eastAsia" w:ascii="宋体" w:hAnsi="宋体" w:eastAsia="宋体" w:cs="Times New Roman"/>
          <w:b w:val="0"/>
          <w:sz w:val="24"/>
          <w:szCs w:val="24"/>
        </w:rPr>
        <w:t>间操制度覆盖面。</w:t>
      </w:r>
    </w:p>
    <w:p>
      <w:pPr>
        <w:pStyle w:val="10"/>
        <w:spacing w:before="0" w:after="0" w:line="360" w:lineRule="auto"/>
        <w:ind w:firstLine="482" w:firstLineChars="200"/>
        <w:jc w:val="left"/>
        <w:outlineLvl w:val="9"/>
        <w:rPr>
          <w:rFonts w:ascii="宋体" w:hAnsi="宋体" w:eastAsia="宋体" w:cs="Times New Roman"/>
          <w:b w:val="0"/>
          <w:sz w:val="24"/>
          <w:szCs w:val="24"/>
        </w:rPr>
      </w:pPr>
      <w:r>
        <w:rPr>
          <w:rFonts w:hint="eastAsia" w:ascii="宋体" w:hAnsi="宋体" w:eastAsia="宋体" w:cs="Times New Roman"/>
          <w:sz w:val="24"/>
          <w:szCs w:val="24"/>
        </w:rPr>
        <w:t>1.4.加强健康管理，实施慢性病综合防治。</w:t>
      </w:r>
      <w:r>
        <w:rPr>
          <w:rFonts w:hint="eastAsia" w:ascii="宋体" w:hAnsi="宋体" w:eastAsia="宋体" w:cs="Times New Roman"/>
          <w:b w:val="0"/>
          <w:sz w:val="24"/>
          <w:szCs w:val="24"/>
        </w:rPr>
        <w:t>全面落实医疗机构35岁以上首诊测血压制度，推广35岁以上首诊测血糖。认真做好参合农民、参保居民和退休人员等健康体检工作，规范实施基本公共卫生服务项目，积极发现慢性病患者和高危人群，依照相关技术指南和工作规范，开展普通人群健康教育，帮助形成维持健康生活方式：推进慢性病高风险人群的干预、评估，减少疾病发生或延缓疾病进程；实施对慢性病患者的规范诊治、管理，推广患者自我管理模式，努力提高患者规范管理率和控制率。结合工作实际，推进口腔保健，探索对癌症患者开展随访和康复指导。发挥功能社区在慢性病防治中的作用，政府机关、企事业单位积极推行健康体检制度。将慢性病核心指标作为必查项目，建立动态管理档案，加强指导管理；逐年增加健康指标自助检测点设置，鼓励有条件的机关、单位提供体格测量简易设备。</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落实专业防治机构与医院在慢性病综合防治中的作用。县疾病预防控制、健康教育等机构推广上级部门开发的高风险人群发现、强化生活方式干预的适宜技术。结合国家免疫规划政策，加强对癌症高风险人群乙型肝炎、人乳头瘤病毒等疫苗的预防接种、并进行督导和评价。各级各类医院遵照诊疗技术规范和指南，完善专科医师的专业化培训制度，注重康复治疗的早期介入，在提供规范化诊断、治疗和康复的同时，加强对患者及家属的咨询指导和科普宣传。坚持中西医并重，深入学校、社区、家庭普及中医药养生和防治知识，发挥中医药“筒、便、验、廉”的特点，推进中医药“治未病”工作。</w:t>
      </w:r>
    </w:p>
    <w:p>
      <w:pPr>
        <w:spacing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1.5.注重科研培训，提升慢性病防治水平。</w:t>
      </w:r>
      <w:r>
        <w:rPr>
          <w:rFonts w:hint="eastAsia" w:asciiTheme="minorEastAsia" w:hAnsiTheme="minorEastAsia" w:eastAsiaTheme="minorEastAsia"/>
          <w:sz w:val="24"/>
          <w:szCs w:val="24"/>
        </w:rPr>
        <w:t>加强慢性病基础研究、应用研究和转化医学研究。在相关科技计划中加大对慢性病防治研究的支持，提高慢性病防治的科技支撑能力。各业务单位抓住重点和关键的防治技术问题，及时优化慢性病防治策略措施，研发健康教育与健康促进技术；加强科研成果转化和利用，在上级技术部门指导下，推广慢性病预防、早诊早治早康复和規范治疗等适宜技术。加强与高校合作，积极争取国际、国内合作项目，借鉴国内外先进经验，开展技术、人才和信息的交流以及科研项目的合作，提高慢性病防治水平。</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加强基层慢性病和口腔疾病防治实用型人才培养，提高基层医疗卫生人员服务能力，切实加强政策保障，使基层医疗卫生人才引得进、用得上、留得住；加强慢性病防治复合型人才培养，特别注重培养既掌握临床医学技能又熟悉公共卫生知识的人才，在住院医师（含全科医生）和公共卫生医师规范化培训中，强化慢性病防治内容，提高慢病防治技能；加强对康复治疗人员的培养力度，提高慢性病患者的康复医疗服务水平，降低慢性病致残率和残疾程度：加强学术带头人和创新型人才培养，全面提高慢性病科学防治水平。</w:t>
      </w:r>
    </w:p>
    <w:p>
      <w:pPr>
        <w:spacing w:after="0" w:line="360" w:lineRule="auto"/>
        <w:ind w:firstLine="562" w:firstLineChars="200"/>
        <w:rPr>
          <w:rFonts w:ascii="宋体" w:hAnsi="宋体" w:eastAsia="宋体"/>
          <w:b/>
          <w:sz w:val="28"/>
          <w:szCs w:val="28"/>
        </w:rPr>
      </w:pPr>
      <w:r>
        <w:rPr>
          <w:rFonts w:hint="eastAsia" w:ascii="宋体" w:hAnsi="宋体" w:eastAsia="宋体"/>
          <w:b/>
          <w:sz w:val="28"/>
          <w:szCs w:val="28"/>
        </w:rPr>
        <w:t>2.建议</w:t>
      </w:r>
    </w:p>
    <w:p>
      <w:pPr>
        <w:spacing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2.1不断巩留慢性病防控示范区，建立健全长效机制。</w:t>
      </w:r>
      <w:r>
        <w:rPr>
          <w:rFonts w:hint="eastAsia" w:asciiTheme="minorEastAsia" w:hAnsiTheme="minorEastAsia" w:eastAsiaTheme="minorEastAsia"/>
          <w:sz w:val="24"/>
          <w:szCs w:val="24"/>
        </w:rPr>
        <w:t>慢性病防治是一项社会系统工程，进一步完善政府主导、多部门合作、专业机构支持、全社会参与的慢性病综合防控工作机制，以创建国家卫生城市和国家文明城市为契机，切实落实县政府印发的浙江省慢性病综合防治防控示范区工作实施方案，建立健全长效的管理模式，扩大部门合作面，加强慢性病防控队伍建设，提高专业人员技术水平和服务能力。</w:t>
      </w:r>
    </w:p>
    <w:p>
      <w:pPr>
        <w:spacing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2.2加强宣传，提高居民的保健意识。</w:t>
      </w:r>
      <w:r>
        <w:rPr>
          <w:rFonts w:hint="eastAsia" w:asciiTheme="minorEastAsia" w:hAnsiTheme="minorEastAsia" w:eastAsiaTheme="minorEastAsia"/>
          <w:sz w:val="24"/>
          <w:szCs w:val="24"/>
        </w:rPr>
        <w:t>由于高血压、糖尿病、血脂异常等疾病的发展过程均较隐匿，因此应加大宣传力度，采用多种渠道，多种形式宣传慢性病防治知识，使人们真正认识到慢性病及其危险因素的危害性和严重性，逐步形成良好的生活习惯。而居民自报患病率较高的口腔疾病、消化系统疾病、颈腰部和骨关节疾病虽然病死率不高，但却影响居民生活质量，而这几类疾病都与生活方式相关，因此根据不同人群有侧重地加强健康教育，将起到事半功倍的预防效果。一要着重加强社区健康教育，尤其是社区卫生服务机构应成为社区居民一个十分重要的健康教育基地，实现慢性病预防控制的关口前移、重心下移，全面实施生命全过程的健康促进」健康管理和疾病管理三个重要环节。二要着重开展慢性病行为危险因索的自佳付育基地，实现慢性病预防控制的关口前移、重心下移，全面实施生命全过程的健康促进、健康管理和疾病管理三个重要环节。二要着重开展慢性病行为危险因素的宣传，尤其对35岁及以上的居民，应作为慢性病社区综合干预控制的重点人群。倡导全民健康生活方式行动，践行“日行一万步、吃动两平衡、健康一辈子”关注腰围、控制血压，降低慢性病发生。</w:t>
      </w:r>
    </w:p>
    <w:p>
      <w:pPr>
        <w:spacing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2.3加强慢性病防治相关技能的培训。</w:t>
      </w:r>
      <w:r>
        <w:rPr>
          <w:rFonts w:hint="eastAsia" w:asciiTheme="minorEastAsia" w:hAnsiTheme="minorEastAsia" w:eastAsiaTheme="minorEastAsia"/>
          <w:sz w:val="24"/>
          <w:szCs w:val="24"/>
        </w:rPr>
        <w:t>居民慢性病防治效果差。一方面源于健康知识的匮乏；另一方面则源于慢性病防治相关技能的掌握不足。因此，除了加强宣传外，还应加强慢性病防治相关技能的培训。培训对象首先是社区医务人员，让他们掌握因人而异地制定戒烟、科学饮食、运动处方的技巧以及传播技巧；其次是调动居民的积极性，主动参与到社区的相关技能培训当中；其他机构，如健身俱乐部等应掌握为参与者提供平衡膳食、科学运动、适当减压等技巧。</w:t>
      </w:r>
    </w:p>
    <w:p>
      <w:pPr>
        <w:spacing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2.4加强重点慢性病的筛查，加强慢性病患者的管理。</w:t>
      </w:r>
      <w:r>
        <w:rPr>
          <w:rFonts w:hint="eastAsia" w:asciiTheme="minorEastAsia" w:hAnsiTheme="minorEastAsia" w:eastAsiaTheme="minorEastAsia"/>
          <w:sz w:val="24"/>
          <w:szCs w:val="24"/>
        </w:rPr>
        <w:t>在慢性病防治工作中要逐步提高居民对高血压病早发现、早预防、早治疗的健康意识，认真落实对35岁及以上居民首诊测血压工作制度。每年有计划有步骤地对部分高危人群进行重点疾病的筛查，以尽早发现更多的隐匿慢性病人。而慢性病患者的综合疗率偏低，除个人未做好自我管理外，更重要的原因则是社区缺乏相应的人力、经费支持。因此、加强社区卫生服务的投入，才能最终解决慢性病患者是否能得到有效管理的问题。</w:t>
      </w:r>
    </w:p>
    <w:p>
      <w:pPr>
        <w:spacing w:after="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2.5锐意创新，探索慢性病防控新路子。</w:t>
      </w:r>
      <w:r>
        <w:rPr>
          <w:rFonts w:hint="eastAsia" w:asciiTheme="minorEastAsia" w:hAnsiTheme="minorEastAsia" w:eastAsiaTheme="minorEastAsia"/>
          <w:sz w:val="24"/>
          <w:szCs w:val="24"/>
        </w:rPr>
        <w:t>慢性病综合防控不仅是个人健康的问题。而且是一个影响经济社会发展全局的问题。因此我们要坚持与群众互动，提高群众的参与度，不断创新工作方式方法。一要继续借助社会机构的力量，充分借助各社会机构的师资和同工、义工团队，引用他们的教学模式，学习他们的健康社区的先进管理经验，组建自我管理小组，以点带面，构建慢性病患者自我管理模式。二要继续加大基本公共卫生服务投入，确保人均达到70元标准，让基层卫生单位更好地为群众提供基本公共卫生服务。各基层卫生院要深入乡村、家庭，为群众进行健康体检，建立健康档案，开展慢性病筛查、健康教育、诊病咨询和常见病治疗等“六位一体”的社区卫生服务，方便群众，惠泽群众，探索一条具有瑞安特色的慢性病综合防控新路子。</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algun Gothic Semilight">
    <w:panose1 w:val="020B0502040204020203"/>
    <w:charset w:val="86"/>
    <w:family w:val="swiss"/>
    <w:pitch w:val="default"/>
    <w:sig w:usb0="900002AF" w:usb1="01D77CFB" w:usb2="00000012" w:usb3="00000000" w:csb0="203E01BD" w:csb1="D7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64</w:t>
    </w:r>
    <w:r>
      <w:rPr>
        <w:rFonts w:ascii="宋体" w:hAnsi="宋体"/>
        <w:sz w:val="28"/>
        <w:szCs w:val="28"/>
      </w:rPr>
      <w:fldChar w:fldCharType="end"/>
    </w:r>
  </w:p>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D34829"/>
    <w:multiLevelType w:val="multilevel"/>
    <w:tmpl w:val="07D34829"/>
    <w:lvl w:ilvl="0" w:tentative="0">
      <w:start w:val="2"/>
      <w:numFmt w:val="decimal"/>
      <w:lvlText w:val="%1、"/>
      <w:lvlJc w:val="left"/>
      <w:pPr>
        <w:ind w:left="360" w:hanging="360"/>
      </w:pPr>
      <w:rPr>
        <w:rFonts w:hint="default"/>
      </w:rPr>
    </w:lvl>
    <w:lvl w:ilvl="1" w:tentative="0">
      <w:start w:val="1"/>
      <w:numFmt w:val="lowerLetter"/>
      <w:lvlText w:val="%2)"/>
      <w:lvlJc w:val="left"/>
      <w:pPr>
        <w:ind w:left="839" w:hanging="420"/>
      </w:pPr>
    </w:lvl>
    <w:lvl w:ilvl="2" w:tentative="0">
      <w:start w:val="1"/>
      <w:numFmt w:val="lowerRoman"/>
      <w:lvlText w:val="%3."/>
      <w:lvlJc w:val="right"/>
      <w:pPr>
        <w:ind w:left="1259" w:hanging="420"/>
      </w:pPr>
    </w:lvl>
    <w:lvl w:ilvl="3" w:tentative="0">
      <w:start w:val="1"/>
      <w:numFmt w:val="decimal"/>
      <w:lvlText w:val="%4."/>
      <w:lvlJc w:val="left"/>
      <w:pPr>
        <w:ind w:left="1679" w:hanging="420"/>
      </w:pPr>
    </w:lvl>
    <w:lvl w:ilvl="4" w:tentative="0">
      <w:start w:val="1"/>
      <w:numFmt w:val="lowerLetter"/>
      <w:lvlText w:val="%5)"/>
      <w:lvlJc w:val="left"/>
      <w:pPr>
        <w:ind w:left="2099" w:hanging="420"/>
      </w:pPr>
    </w:lvl>
    <w:lvl w:ilvl="5" w:tentative="0">
      <w:start w:val="1"/>
      <w:numFmt w:val="lowerRoman"/>
      <w:lvlText w:val="%6."/>
      <w:lvlJc w:val="right"/>
      <w:pPr>
        <w:ind w:left="2519" w:hanging="420"/>
      </w:pPr>
    </w:lvl>
    <w:lvl w:ilvl="6" w:tentative="0">
      <w:start w:val="1"/>
      <w:numFmt w:val="decimal"/>
      <w:lvlText w:val="%7."/>
      <w:lvlJc w:val="left"/>
      <w:pPr>
        <w:ind w:left="2939" w:hanging="420"/>
      </w:pPr>
    </w:lvl>
    <w:lvl w:ilvl="7" w:tentative="0">
      <w:start w:val="1"/>
      <w:numFmt w:val="lowerLetter"/>
      <w:lvlText w:val="%8)"/>
      <w:lvlJc w:val="left"/>
      <w:pPr>
        <w:ind w:left="3359" w:hanging="420"/>
      </w:pPr>
    </w:lvl>
    <w:lvl w:ilvl="8" w:tentative="0">
      <w:start w:val="1"/>
      <w:numFmt w:val="lowerRoman"/>
      <w:lvlText w:val="%9."/>
      <w:lvlJc w:val="right"/>
      <w:pPr>
        <w:ind w:left="3779" w:hanging="420"/>
      </w:pPr>
    </w:lvl>
  </w:abstractNum>
  <w:abstractNum w:abstractNumId="1">
    <w:nsid w:val="5CD5294F"/>
    <w:multiLevelType w:val="singleLevel"/>
    <w:tmpl w:val="5CD5294F"/>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Mzg1MGM4ZGYyZTg4YWIwODg1NzA1YzA3NTAzZmM2NTcifQ=="/>
    <w:docVar w:name="KSO_WPS_MARK_KEY" w:val="e10fd2cb-776b-48d7-a0a3-0abb3f49dbb5"/>
  </w:docVars>
  <w:rsids>
    <w:rsidRoot w:val="00D31D50"/>
    <w:rsid w:val="00003041"/>
    <w:rsid w:val="0000718A"/>
    <w:rsid w:val="00007D3F"/>
    <w:rsid w:val="00021A32"/>
    <w:rsid w:val="000272BA"/>
    <w:rsid w:val="00031C43"/>
    <w:rsid w:val="00041305"/>
    <w:rsid w:val="00047EEF"/>
    <w:rsid w:val="0005039A"/>
    <w:rsid w:val="00051829"/>
    <w:rsid w:val="00062722"/>
    <w:rsid w:val="0006320A"/>
    <w:rsid w:val="00066D97"/>
    <w:rsid w:val="000819DF"/>
    <w:rsid w:val="000A0D77"/>
    <w:rsid w:val="000A3B09"/>
    <w:rsid w:val="000A71E4"/>
    <w:rsid w:val="000B25B5"/>
    <w:rsid w:val="000C10E2"/>
    <w:rsid w:val="000D2493"/>
    <w:rsid w:val="000D26DE"/>
    <w:rsid w:val="000D7675"/>
    <w:rsid w:val="000E11F7"/>
    <w:rsid w:val="000E1AEE"/>
    <w:rsid w:val="000E378F"/>
    <w:rsid w:val="000E4594"/>
    <w:rsid w:val="000F17D2"/>
    <w:rsid w:val="0010100F"/>
    <w:rsid w:val="0010177F"/>
    <w:rsid w:val="0011003D"/>
    <w:rsid w:val="00110A09"/>
    <w:rsid w:val="00112DCF"/>
    <w:rsid w:val="00122CEF"/>
    <w:rsid w:val="001242EE"/>
    <w:rsid w:val="00125921"/>
    <w:rsid w:val="0014077B"/>
    <w:rsid w:val="00145072"/>
    <w:rsid w:val="00154D02"/>
    <w:rsid w:val="00163214"/>
    <w:rsid w:val="00163954"/>
    <w:rsid w:val="001654F9"/>
    <w:rsid w:val="00174B47"/>
    <w:rsid w:val="001828CC"/>
    <w:rsid w:val="00185B5C"/>
    <w:rsid w:val="00187B71"/>
    <w:rsid w:val="00191656"/>
    <w:rsid w:val="001A1BF7"/>
    <w:rsid w:val="001B1312"/>
    <w:rsid w:val="001B7E23"/>
    <w:rsid w:val="001C59DD"/>
    <w:rsid w:val="001D19A3"/>
    <w:rsid w:val="001D45BB"/>
    <w:rsid w:val="001E4BF9"/>
    <w:rsid w:val="001E568C"/>
    <w:rsid w:val="001E5738"/>
    <w:rsid w:val="001F48CF"/>
    <w:rsid w:val="001F73DC"/>
    <w:rsid w:val="00200837"/>
    <w:rsid w:val="0020412D"/>
    <w:rsid w:val="00204EAF"/>
    <w:rsid w:val="00206F13"/>
    <w:rsid w:val="00212E58"/>
    <w:rsid w:val="00212F6C"/>
    <w:rsid w:val="00216E95"/>
    <w:rsid w:val="00233428"/>
    <w:rsid w:val="00237693"/>
    <w:rsid w:val="00241CDB"/>
    <w:rsid w:val="00242C05"/>
    <w:rsid w:val="00246A89"/>
    <w:rsid w:val="00251DEA"/>
    <w:rsid w:val="00272CB1"/>
    <w:rsid w:val="0027484F"/>
    <w:rsid w:val="002755D7"/>
    <w:rsid w:val="0027730F"/>
    <w:rsid w:val="00280BB0"/>
    <w:rsid w:val="00282B45"/>
    <w:rsid w:val="00283C74"/>
    <w:rsid w:val="00294033"/>
    <w:rsid w:val="00296D2A"/>
    <w:rsid w:val="00297917"/>
    <w:rsid w:val="002B4977"/>
    <w:rsid w:val="002C70A7"/>
    <w:rsid w:val="002D0482"/>
    <w:rsid w:val="002D2689"/>
    <w:rsid w:val="002D2DCF"/>
    <w:rsid w:val="002E1D3D"/>
    <w:rsid w:val="002F3447"/>
    <w:rsid w:val="002F5BFB"/>
    <w:rsid w:val="002F5E8F"/>
    <w:rsid w:val="003014AE"/>
    <w:rsid w:val="00303C36"/>
    <w:rsid w:val="00323B43"/>
    <w:rsid w:val="00341A0B"/>
    <w:rsid w:val="00345F9C"/>
    <w:rsid w:val="00350FFC"/>
    <w:rsid w:val="00353B11"/>
    <w:rsid w:val="0035460E"/>
    <w:rsid w:val="00362596"/>
    <w:rsid w:val="00367EDD"/>
    <w:rsid w:val="00371BF1"/>
    <w:rsid w:val="0038555B"/>
    <w:rsid w:val="00387835"/>
    <w:rsid w:val="00391FB6"/>
    <w:rsid w:val="00392717"/>
    <w:rsid w:val="00394DBF"/>
    <w:rsid w:val="00396124"/>
    <w:rsid w:val="00396776"/>
    <w:rsid w:val="003A00D0"/>
    <w:rsid w:val="003C3F63"/>
    <w:rsid w:val="003C5659"/>
    <w:rsid w:val="003D032C"/>
    <w:rsid w:val="003D37D8"/>
    <w:rsid w:val="003E0991"/>
    <w:rsid w:val="003E3907"/>
    <w:rsid w:val="003E6F67"/>
    <w:rsid w:val="003F591A"/>
    <w:rsid w:val="003F6B1B"/>
    <w:rsid w:val="004001DB"/>
    <w:rsid w:val="00403F91"/>
    <w:rsid w:val="004066B2"/>
    <w:rsid w:val="00406E3D"/>
    <w:rsid w:val="004111A1"/>
    <w:rsid w:val="00412597"/>
    <w:rsid w:val="00420D7C"/>
    <w:rsid w:val="00424B43"/>
    <w:rsid w:val="00426133"/>
    <w:rsid w:val="004347BA"/>
    <w:rsid w:val="004358AB"/>
    <w:rsid w:val="00436871"/>
    <w:rsid w:val="0044109E"/>
    <w:rsid w:val="00443354"/>
    <w:rsid w:val="00445AA8"/>
    <w:rsid w:val="00447F1C"/>
    <w:rsid w:val="00456E25"/>
    <w:rsid w:val="004600FA"/>
    <w:rsid w:val="00461F47"/>
    <w:rsid w:val="004627E6"/>
    <w:rsid w:val="00462D9E"/>
    <w:rsid w:val="004648FF"/>
    <w:rsid w:val="00466886"/>
    <w:rsid w:val="00467C7C"/>
    <w:rsid w:val="0047127E"/>
    <w:rsid w:val="00476A4C"/>
    <w:rsid w:val="00477956"/>
    <w:rsid w:val="004803BC"/>
    <w:rsid w:val="004841E9"/>
    <w:rsid w:val="00484A97"/>
    <w:rsid w:val="00487E5D"/>
    <w:rsid w:val="004A098A"/>
    <w:rsid w:val="004A708E"/>
    <w:rsid w:val="004B2C0D"/>
    <w:rsid w:val="004B73D0"/>
    <w:rsid w:val="004B79A8"/>
    <w:rsid w:val="004C09AE"/>
    <w:rsid w:val="004C321D"/>
    <w:rsid w:val="004C3354"/>
    <w:rsid w:val="004C5057"/>
    <w:rsid w:val="004C60F1"/>
    <w:rsid w:val="004D1A74"/>
    <w:rsid w:val="004E42AD"/>
    <w:rsid w:val="00502992"/>
    <w:rsid w:val="00506B84"/>
    <w:rsid w:val="00516B63"/>
    <w:rsid w:val="005230C0"/>
    <w:rsid w:val="00531483"/>
    <w:rsid w:val="00531D62"/>
    <w:rsid w:val="00536ED1"/>
    <w:rsid w:val="005370E9"/>
    <w:rsid w:val="00542F9F"/>
    <w:rsid w:val="00546DFD"/>
    <w:rsid w:val="0056281C"/>
    <w:rsid w:val="0056324E"/>
    <w:rsid w:val="005643E8"/>
    <w:rsid w:val="00573624"/>
    <w:rsid w:val="00574F54"/>
    <w:rsid w:val="00575272"/>
    <w:rsid w:val="005810A2"/>
    <w:rsid w:val="0058169F"/>
    <w:rsid w:val="00581D12"/>
    <w:rsid w:val="00582CF2"/>
    <w:rsid w:val="0058326A"/>
    <w:rsid w:val="0059399C"/>
    <w:rsid w:val="005B111D"/>
    <w:rsid w:val="005B3E49"/>
    <w:rsid w:val="005B4212"/>
    <w:rsid w:val="005B519D"/>
    <w:rsid w:val="00605A14"/>
    <w:rsid w:val="0061103F"/>
    <w:rsid w:val="006168F9"/>
    <w:rsid w:val="006200A2"/>
    <w:rsid w:val="00627830"/>
    <w:rsid w:val="0063468C"/>
    <w:rsid w:val="00640494"/>
    <w:rsid w:val="00641C96"/>
    <w:rsid w:val="006424BD"/>
    <w:rsid w:val="00643687"/>
    <w:rsid w:val="00653B46"/>
    <w:rsid w:val="00653C0D"/>
    <w:rsid w:val="00660191"/>
    <w:rsid w:val="006704E7"/>
    <w:rsid w:val="006802D3"/>
    <w:rsid w:val="0068192C"/>
    <w:rsid w:val="006858F1"/>
    <w:rsid w:val="006B2C29"/>
    <w:rsid w:val="006B7E19"/>
    <w:rsid w:val="006D7B0C"/>
    <w:rsid w:val="006E6902"/>
    <w:rsid w:val="006E6E3F"/>
    <w:rsid w:val="006F3F14"/>
    <w:rsid w:val="006F4457"/>
    <w:rsid w:val="006F6D9B"/>
    <w:rsid w:val="00707182"/>
    <w:rsid w:val="00713339"/>
    <w:rsid w:val="007165B5"/>
    <w:rsid w:val="00720B3F"/>
    <w:rsid w:val="00723088"/>
    <w:rsid w:val="0072415E"/>
    <w:rsid w:val="007258D5"/>
    <w:rsid w:val="00727738"/>
    <w:rsid w:val="00737239"/>
    <w:rsid w:val="00745BC0"/>
    <w:rsid w:val="00747C62"/>
    <w:rsid w:val="007543CE"/>
    <w:rsid w:val="007579DA"/>
    <w:rsid w:val="00757D41"/>
    <w:rsid w:val="007652AB"/>
    <w:rsid w:val="00774695"/>
    <w:rsid w:val="00796B0E"/>
    <w:rsid w:val="007A285A"/>
    <w:rsid w:val="007B3DD3"/>
    <w:rsid w:val="007C70A0"/>
    <w:rsid w:val="007D1943"/>
    <w:rsid w:val="007E09EC"/>
    <w:rsid w:val="007F51AA"/>
    <w:rsid w:val="007F7514"/>
    <w:rsid w:val="00804037"/>
    <w:rsid w:val="00804972"/>
    <w:rsid w:val="008070AE"/>
    <w:rsid w:val="008104B9"/>
    <w:rsid w:val="008157EC"/>
    <w:rsid w:val="00815E05"/>
    <w:rsid w:val="008237D9"/>
    <w:rsid w:val="00824C4D"/>
    <w:rsid w:val="00827B74"/>
    <w:rsid w:val="00834B23"/>
    <w:rsid w:val="00861F93"/>
    <w:rsid w:val="00871B40"/>
    <w:rsid w:val="00874147"/>
    <w:rsid w:val="008830CF"/>
    <w:rsid w:val="0089153F"/>
    <w:rsid w:val="00891EB8"/>
    <w:rsid w:val="0089389B"/>
    <w:rsid w:val="00894F2D"/>
    <w:rsid w:val="008B7360"/>
    <w:rsid w:val="008B7726"/>
    <w:rsid w:val="008B7C68"/>
    <w:rsid w:val="008C2AEA"/>
    <w:rsid w:val="008D497C"/>
    <w:rsid w:val="008D7408"/>
    <w:rsid w:val="008E17D8"/>
    <w:rsid w:val="008F3765"/>
    <w:rsid w:val="0091158B"/>
    <w:rsid w:val="00915414"/>
    <w:rsid w:val="009309E2"/>
    <w:rsid w:val="009371A4"/>
    <w:rsid w:val="0095314F"/>
    <w:rsid w:val="009711B3"/>
    <w:rsid w:val="00976261"/>
    <w:rsid w:val="0098627A"/>
    <w:rsid w:val="0099680E"/>
    <w:rsid w:val="00997673"/>
    <w:rsid w:val="009A65E6"/>
    <w:rsid w:val="009A7113"/>
    <w:rsid w:val="009C573C"/>
    <w:rsid w:val="009C601B"/>
    <w:rsid w:val="009E2507"/>
    <w:rsid w:val="009E4997"/>
    <w:rsid w:val="009F6FC0"/>
    <w:rsid w:val="00A06DE0"/>
    <w:rsid w:val="00A10F14"/>
    <w:rsid w:val="00A118C9"/>
    <w:rsid w:val="00A11AF5"/>
    <w:rsid w:val="00A1218B"/>
    <w:rsid w:val="00A33F64"/>
    <w:rsid w:val="00A45343"/>
    <w:rsid w:val="00A453CB"/>
    <w:rsid w:val="00A455FB"/>
    <w:rsid w:val="00A50CC6"/>
    <w:rsid w:val="00A52A74"/>
    <w:rsid w:val="00A53B22"/>
    <w:rsid w:val="00A56542"/>
    <w:rsid w:val="00A60954"/>
    <w:rsid w:val="00A667E3"/>
    <w:rsid w:val="00A70BC4"/>
    <w:rsid w:val="00A71E16"/>
    <w:rsid w:val="00A736DB"/>
    <w:rsid w:val="00A75CC7"/>
    <w:rsid w:val="00A7793A"/>
    <w:rsid w:val="00A80316"/>
    <w:rsid w:val="00A81961"/>
    <w:rsid w:val="00A834EA"/>
    <w:rsid w:val="00A92A67"/>
    <w:rsid w:val="00A94A7F"/>
    <w:rsid w:val="00A95DC9"/>
    <w:rsid w:val="00A96158"/>
    <w:rsid w:val="00A97392"/>
    <w:rsid w:val="00AA0B80"/>
    <w:rsid w:val="00AA6A28"/>
    <w:rsid w:val="00AB49EA"/>
    <w:rsid w:val="00AC5342"/>
    <w:rsid w:val="00AD0F1C"/>
    <w:rsid w:val="00AD14CF"/>
    <w:rsid w:val="00AD4157"/>
    <w:rsid w:val="00AE2CAA"/>
    <w:rsid w:val="00AE46D4"/>
    <w:rsid w:val="00AF04CC"/>
    <w:rsid w:val="00AF29B3"/>
    <w:rsid w:val="00AF693B"/>
    <w:rsid w:val="00B00107"/>
    <w:rsid w:val="00B03E32"/>
    <w:rsid w:val="00B11940"/>
    <w:rsid w:val="00B14770"/>
    <w:rsid w:val="00B22F74"/>
    <w:rsid w:val="00B37563"/>
    <w:rsid w:val="00B40541"/>
    <w:rsid w:val="00B40EC0"/>
    <w:rsid w:val="00B536A4"/>
    <w:rsid w:val="00B56BC1"/>
    <w:rsid w:val="00B70647"/>
    <w:rsid w:val="00B83E4E"/>
    <w:rsid w:val="00BA057D"/>
    <w:rsid w:val="00BA5867"/>
    <w:rsid w:val="00BD1864"/>
    <w:rsid w:val="00BD5701"/>
    <w:rsid w:val="00BD6A5E"/>
    <w:rsid w:val="00BF266D"/>
    <w:rsid w:val="00BF5C6A"/>
    <w:rsid w:val="00BF66BC"/>
    <w:rsid w:val="00C04CE0"/>
    <w:rsid w:val="00C0558E"/>
    <w:rsid w:val="00C10B45"/>
    <w:rsid w:val="00C34D97"/>
    <w:rsid w:val="00C35EEF"/>
    <w:rsid w:val="00C37859"/>
    <w:rsid w:val="00C37B24"/>
    <w:rsid w:val="00C41EEA"/>
    <w:rsid w:val="00C4795B"/>
    <w:rsid w:val="00C566EF"/>
    <w:rsid w:val="00C5744E"/>
    <w:rsid w:val="00C62129"/>
    <w:rsid w:val="00C7767B"/>
    <w:rsid w:val="00C8404A"/>
    <w:rsid w:val="00C85F4E"/>
    <w:rsid w:val="00C90D55"/>
    <w:rsid w:val="00CA0D2A"/>
    <w:rsid w:val="00CA649B"/>
    <w:rsid w:val="00CB637F"/>
    <w:rsid w:val="00CC02AC"/>
    <w:rsid w:val="00CC1557"/>
    <w:rsid w:val="00CC5161"/>
    <w:rsid w:val="00CD0C43"/>
    <w:rsid w:val="00CD2661"/>
    <w:rsid w:val="00CD3A58"/>
    <w:rsid w:val="00CD48C3"/>
    <w:rsid w:val="00CD7266"/>
    <w:rsid w:val="00CE384B"/>
    <w:rsid w:val="00CF23FA"/>
    <w:rsid w:val="00CF67CD"/>
    <w:rsid w:val="00D04F12"/>
    <w:rsid w:val="00D21489"/>
    <w:rsid w:val="00D26711"/>
    <w:rsid w:val="00D31D50"/>
    <w:rsid w:val="00D33020"/>
    <w:rsid w:val="00D45C5E"/>
    <w:rsid w:val="00D61D2D"/>
    <w:rsid w:val="00D62C14"/>
    <w:rsid w:val="00D651C2"/>
    <w:rsid w:val="00D7005C"/>
    <w:rsid w:val="00D72B2F"/>
    <w:rsid w:val="00D72C92"/>
    <w:rsid w:val="00D7491D"/>
    <w:rsid w:val="00D83891"/>
    <w:rsid w:val="00DA2F15"/>
    <w:rsid w:val="00DA6FBB"/>
    <w:rsid w:val="00DB44A1"/>
    <w:rsid w:val="00DC1611"/>
    <w:rsid w:val="00DC2A0B"/>
    <w:rsid w:val="00DD37D3"/>
    <w:rsid w:val="00DD74E3"/>
    <w:rsid w:val="00DE0637"/>
    <w:rsid w:val="00DE072E"/>
    <w:rsid w:val="00DE7A4F"/>
    <w:rsid w:val="00DF0D93"/>
    <w:rsid w:val="00DF0FEA"/>
    <w:rsid w:val="00DF595E"/>
    <w:rsid w:val="00E00E8F"/>
    <w:rsid w:val="00E01B5A"/>
    <w:rsid w:val="00E04D84"/>
    <w:rsid w:val="00E061F8"/>
    <w:rsid w:val="00E06654"/>
    <w:rsid w:val="00E15FE7"/>
    <w:rsid w:val="00E2326E"/>
    <w:rsid w:val="00E24EDC"/>
    <w:rsid w:val="00E269C2"/>
    <w:rsid w:val="00E27E34"/>
    <w:rsid w:val="00E30428"/>
    <w:rsid w:val="00E42E5F"/>
    <w:rsid w:val="00E54842"/>
    <w:rsid w:val="00E56887"/>
    <w:rsid w:val="00E6384F"/>
    <w:rsid w:val="00E65091"/>
    <w:rsid w:val="00E6671D"/>
    <w:rsid w:val="00E717A2"/>
    <w:rsid w:val="00E7443A"/>
    <w:rsid w:val="00E8029A"/>
    <w:rsid w:val="00E80DC9"/>
    <w:rsid w:val="00E860B4"/>
    <w:rsid w:val="00E9286C"/>
    <w:rsid w:val="00EA4C8D"/>
    <w:rsid w:val="00EC11BE"/>
    <w:rsid w:val="00EC1B44"/>
    <w:rsid w:val="00EC3A59"/>
    <w:rsid w:val="00EC7614"/>
    <w:rsid w:val="00ED2593"/>
    <w:rsid w:val="00EE0224"/>
    <w:rsid w:val="00EE39ED"/>
    <w:rsid w:val="00EE3E81"/>
    <w:rsid w:val="00EE4D46"/>
    <w:rsid w:val="00EE5BF2"/>
    <w:rsid w:val="00EF2E12"/>
    <w:rsid w:val="00EF38D3"/>
    <w:rsid w:val="00F018E4"/>
    <w:rsid w:val="00F03019"/>
    <w:rsid w:val="00F05719"/>
    <w:rsid w:val="00F07BAB"/>
    <w:rsid w:val="00F17281"/>
    <w:rsid w:val="00F33922"/>
    <w:rsid w:val="00F433EC"/>
    <w:rsid w:val="00F558C6"/>
    <w:rsid w:val="00F61606"/>
    <w:rsid w:val="00F66A1E"/>
    <w:rsid w:val="00F850EB"/>
    <w:rsid w:val="00F857A8"/>
    <w:rsid w:val="00F945EC"/>
    <w:rsid w:val="00FA19DB"/>
    <w:rsid w:val="00FA3461"/>
    <w:rsid w:val="00FB20A3"/>
    <w:rsid w:val="00FB690F"/>
    <w:rsid w:val="00FC0E2A"/>
    <w:rsid w:val="00FC6CEE"/>
    <w:rsid w:val="00FD448F"/>
    <w:rsid w:val="00FD5A5F"/>
    <w:rsid w:val="00FD6ABE"/>
    <w:rsid w:val="00FD6EBA"/>
    <w:rsid w:val="00FD7460"/>
    <w:rsid w:val="00FD7993"/>
    <w:rsid w:val="00FE0F76"/>
    <w:rsid w:val="00FE304A"/>
    <w:rsid w:val="00FF6594"/>
    <w:rsid w:val="03060E26"/>
    <w:rsid w:val="0CC47C3E"/>
    <w:rsid w:val="12293E90"/>
    <w:rsid w:val="12BB990E"/>
    <w:rsid w:val="13F3417D"/>
    <w:rsid w:val="13FA3C8D"/>
    <w:rsid w:val="165A4821"/>
    <w:rsid w:val="1ECE1CB0"/>
    <w:rsid w:val="20722B0F"/>
    <w:rsid w:val="293D2B1D"/>
    <w:rsid w:val="2A2E79C5"/>
    <w:rsid w:val="371B60A2"/>
    <w:rsid w:val="388D4D7E"/>
    <w:rsid w:val="38F92709"/>
    <w:rsid w:val="3BEEB54E"/>
    <w:rsid w:val="3BFE4822"/>
    <w:rsid w:val="3DFB9873"/>
    <w:rsid w:val="3FBFAF7A"/>
    <w:rsid w:val="3FF7A6DC"/>
    <w:rsid w:val="4EDF3B6E"/>
    <w:rsid w:val="4FFF4E5A"/>
    <w:rsid w:val="52972F71"/>
    <w:rsid w:val="53B936CC"/>
    <w:rsid w:val="550215F8"/>
    <w:rsid w:val="57C739B1"/>
    <w:rsid w:val="57FD96E8"/>
    <w:rsid w:val="5D3C70A4"/>
    <w:rsid w:val="5DBF70E4"/>
    <w:rsid w:val="5EEEF52E"/>
    <w:rsid w:val="5F6B26AC"/>
    <w:rsid w:val="5FD701A1"/>
    <w:rsid w:val="5FEFE81B"/>
    <w:rsid w:val="6E1C2D18"/>
    <w:rsid w:val="6FB3F243"/>
    <w:rsid w:val="6FEC7396"/>
    <w:rsid w:val="719CF477"/>
    <w:rsid w:val="777BFE46"/>
    <w:rsid w:val="77BFF673"/>
    <w:rsid w:val="79BD656A"/>
    <w:rsid w:val="7AFD82A9"/>
    <w:rsid w:val="7C372603"/>
    <w:rsid w:val="7CFF00CC"/>
    <w:rsid w:val="7DBA1B05"/>
    <w:rsid w:val="7EBF5322"/>
    <w:rsid w:val="7EEFBD89"/>
    <w:rsid w:val="7F3F5546"/>
    <w:rsid w:val="7F9FD0B6"/>
    <w:rsid w:val="7FCD6F46"/>
    <w:rsid w:val="9F458356"/>
    <w:rsid w:val="B1FA108F"/>
    <w:rsid w:val="B5FEFBA7"/>
    <w:rsid w:val="B64F6D9D"/>
    <w:rsid w:val="BF8D0207"/>
    <w:rsid w:val="D7B723BE"/>
    <w:rsid w:val="DAEF31AB"/>
    <w:rsid w:val="DE6F14CC"/>
    <w:rsid w:val="DF7F673B"/>
    <w:rsid w:val="DFF5185B"/>
    <w:rsid w:val="E1DF2EEE"/>
    <w:rsid w:val="EFBF73D9"/>
    <w:rsid w:val="F4FCC0BB"/>
    <w:rsid w:val="F6EB8A4A"/>
    <w:rsid w:val="F7F7E763"/>
    <w:rsid w:val="F97FC0C0"/>
    <w:rsid w:val="FB57B236"/>
    <w:rsid w:val="FB7FE089"/>
    <w:rsid w:val="FBDE31B2"/>
    <w:rsid w:val="FE7F499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3"/>
    <w:basedOn w:val="1"/>
    <w:next w:val="1"/>
    <w:link w:val="21"/>
    <w:qFormat/>
    <w:uiPriority w:val="9"/>
    <w:pPr>
      <w:keepNext/>
      <w:keepLines/>
      <w:adjustRightInd/>
      <w:snapToGrid/>
      <w:spacing w:after="0"/>
      <w:ind w:left="2253" w:hanging="420"/>
      <w:jc w:val="both"/>
      <w:outlineLvl w:val="2"/>
    </w:pPr>
    <w:rPr>
      <w:rFonts w:ascii="Calibri" w:hAnsi="Calibri" w:eastAsia="Calibri" w:cs="Times New Roman"/>
      <w:b/>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widowControl w:val="0"/>
      <w:adjustRightInd/>
      <w:snapToGrid/>
      <w:spacing w:after="0" w:line="400" w:lineRule="exact"/>
      <w:jc w:val="both"/>
    </w:pPr>
    <w:rPr>
      <w:rFonts w:asciiTheme="minorHAnsi" w:hAnsiTheme="minorHAnsi" w:eastAsiaTheme="minorEastAsia"/>
      <w:kern w:val="2"/>
      <w:sz w:val="24"/>
      <w:szCs w:val="24"/>
    </w:rPr>
  </w:style>
  <w:style w:type="paragraph" w:styleId="4">
    <w:name w:val="caption"/>
    <w:basedOn w:val="1"/>
    <w:next w:val="1"/>
    <w:qFormat/>
    <w:uiPriority w:val="0"/>
    <w:pPr>
      <w:adjustRightInd/>
      <w:snapToGrid/>
      <w:spacing w:after="0"/>
      <w:jc w:val="both"/>
    </w:pPr>
    <w:rPr>
      <w:rFonts w:ascii="Cambria" w:hAnsi="Cambria" w:eastAsia="黑体" w:cs="Times New Roman"/>
      <w:sz w:val="20"/>
      <w:szCs w:val="20"/>
    </w:rPr>
  </w:style>
  <w:style w:type="paragraph" w:styleId="5">
    <w:name w:val="annotation text"/>
    <w:basedOn w:val="1"/>
    <w:link w:val="25"/>
    <w:unhideWhenUsed/>
    <w:qFormat/>
    <w:uiPriority w:val="99"/>
    <w:pPr>
      <w:widowControl w:val="0"/>
      <w:adjustRightInd/>
      <w:snapToGrid/>
      <w:spacing w:after="0"/>
    </w:pPr>
    <w:rPr>
      <w:rFonts w:ascii="Times New Roman" w:hAnsi="Times New Roman" w:eastAsia="宋体" w:cs="Times New Roman"/>
      <w:kern w:val="2"/>
      <w:sz w:val="21"/>
      <w:szCs w:val="21"/>
    </w:rPr>
  </w:style>
  <w:style w:type="paragraph" w:styleId="6">
    <w:name w:val="Balloon Text"/>
    <w:basedOn w:val="1"/>
    <w:link w:val="20"/>
    <w:semiHidden/>
    <w:unhideWhenUsed/>
    <w:qFormat/>
    <w:uiPriority w:val="99"/>
    <w:pPr>
      <w:spacing w:after="0"/>
    </w:pPr>
    <w:rPr>
      <w:sz w:val="18"/>
      <w:szCs w:val="18"/>
    </w:rPr>
  </w:style>
  <w:style w:type="paragraph" w:styleId="7">
    <w:name w:val="footer"/>
    <w:basedOn w:val="1"/>
    <w:link w:val="15"/>
    <w:unhideWhenUsed/>
    <w:qFormat/>
    <w:uiPriority w:val="99"/>
    <w:pPr>
      <w:tabs>
        <w:tab w:val="center" w:pos="4153"/>
        <w:tab w:val="right" w:pos="8306"/>
      </w:tabs>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jc w:val="center"/>
    </w:pPr>
    <w:rPr>
      <w:sz w:val="18"/>
      <w:szCs w:val="18"/>
    </w:rPr>
  </w:style>
  <w:style w:type="paragraph" w:styleId="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10">
    <w:name w:val="Title"/>
    <w:basedOn w:val="1"/>
    <w:link w:val="16"/>
    <w:qFormat/>
    <w:uiPriority w:val="0"/>
    <w:pPr>
      <w:widowControl w:val="0"/>
      <w:adjustRightInd/>
      <w:snapToGrid/>
      <w:spacing w:before="240" w:after="60"/>
      <w:jc w:val="center"/>
      <w:outlineLvl w:val="0"/>
    </w:pPr>
    <w:rPr>
      <w:rFonts w:ascii="Arial" w:hAnsi="Arial" w:cs="Arial" w:eastAsiaTheme="minorEastAsia"/>
      <w:b/>
      <w:bCs/>
      <w:kern w:val="2"/>
      <w:sz w:val="32"/>
      <w:szCs w:val="32"/>
    </w:rPr>
  </w:style>
  <w:style w:type="character" w:styleId="13">
    <w:name w:val="Hyperlink"/>
    <w:basedOn w:val="12"/>
    <w:semiHidden/>
    <w:unhideWhenUsed/>
    <w:qFormat/>
    <w:uiPriority w:val="99"/>
    <w:rPr>
      <w:color w:val="0000FF"/>
      <w:u w:val="single"/>
    </w:rPr>
  </w:style>
  <w:style w:type="character" w:customStyle="1" w:styleId="14">
    <w:name w:val="页眉 Char"/>
    <w:basedOn w:val="12"/>
    <w:link w:val="8"/>
    <w:semiHidden/>
    <w:qFormat/>
    <w:uiPriority w:val="99"/>
    <w:rPr>
      <w:rFonts w:ascii="Tahoma" w:hAnsi="Tahoma"/>
      <w:sz w:val="18"/>
      <w:szCs w:val="18"/>
    </w:rPr>
  </w:style>
  <w:style w:type="character" w:customStyle="1" w:styleId="15">
    <w:name w:val="页脚 Char"/>
    <w:basedOn w:val="12"/>
    <w:link w:val="7"/>
    <w:qFormat/>
    <w:uiPriority w:val="99"/>
    <w:rPr>
      <w:rFonts w:ascii="Tahoma" w:hAnsi="Tahoma"/>
      <w:sz w:val="18"/>
      <w:szCs w:val="18"/>
    </w:rPr>
  </w:style>
  <w:style w:type="character" w:customStyle="1" w:styleId="16">
    <w:name w:val="标题 Char"/>
    <w:basedOn w:val="12"/>
    <w:link w:val="10"/>
    <w:qFormat/>
    <w:uiPriority w:val="0"/>
    <w:rPr>
      <w:rFonts w:ascii="Arial" w:hAnsi="Arial" w:cs="Arial" w:eastAsiaTheme="minorEastAsia"/>
      <w:b/>
      <w:bCs/>
      <w:kern w:val="2"/>
      <w:sz w:val="32"/>
      <w:szCs w:val="32"/>
    </w:rPr>
  </w:style>
  <w:style w:type="paragraph" w:customStyle="1" w:styleId="17">
    <w:name w:val="List Paragraph1"/>
    <w:basedOn w:val="1"/>
    <w:qFormat/>
    <w:uiPriority w:val="0"/>
    <w:pPr>
      <w:widowControl w:val="0"/>
      <w:adjustRightInd/>
      <w:snapToGrid/>
      <w:spacing w:after="0"/>
      <w:ind w:firstLine="420" w:firstLineChars="200"/>
      <w:jc w:val="both"/>
    </w:pPr>
    <w:rPr>
      <w:rFonts w:ascii="Calibri" w:hAnsi="Calibri" w:eastAsiaTheme="minorEastAsia"/>
      <w:kern w:val="2"/>
      <w:sz w:val="21"/>
    </w:rPr>
  </w:style>
  <w:style w:type="paragraph" w:customStyle="1" w:styleId="18">
    <w:name w:val="标题（一）"/>
    <w:basedOn w:val="1"/>
    <w:qFormat/>
    <w:uiPriority w:val="0"/>
    <w:pPr>
      <w:widowControl w:val="0"/>
      <w:adjustRightInd/>
      <w:snapToGrid/>
      <w:spacing w:beforeLines="50" w:after="0" w:line="360" w:lineRule="auto"/>
      <w:ind w:firstLine="422" w:firstLineChars="200"/>
      <w:jc w:val="both"/>
    </w:pPr>
    <w:rPr>
      <w:rFonts w:hAnsi="宋体" w:asciiTheme="minorHAnsi" w:eastAsiaTheme="minorEastAsia"/>
      <w:b/>
      <w:bCs/>
      <w:kern w:val="2"/>
      <w:sz w:val="21"/>
      <w:szCs w:val="21"/>
    </w:rPr>
  </w:style>
  <w:style w:type="paragraph" w:customStyle="1" w:styleId="19">
    <w:name w:val="Char"/>
    <w:basedOn w:val="1"/>
    <w:qFormat/>
    <w:uiPriority w:val="0"/>
    <w:pPr>
      <w:widowControl w:val="0"/>
      <w:adjustRightInd/>
      <w:snapToGrid/>
      <w:spacing w:after="0"/>
      <w:jc w:val="both"/>
    </w:pPr>
    <w:rPr>
      <w:rFonts w:ascii="Times New Roman" w:hAnsi="Times New Roman" w:eastAsia="宋体" w:cs="Times New Roman"/>
      <w:kern w:val="2"/>
      <w:sz w:val="24"/>
      <w:szCs w:val="24"/>
    </w:rPr>
  </w:style>
  <w:style w:type="character" w:customStyle="1" w:styleId="20">
    <w:name w:val="批注框文本 Char"/>
    <w:basedOn w:val="12"/>
    <w:link w:val="6"/>
    <w:semiHidden/>
    <w:qFormat/>
    <w:uiPriority w:val="99"/>
    <w:rPr>
      <w:rFonts w:ascii="Tahoma" w:hAnsi="Tahoma"/>
      <w:sz w:val="18"/>
      <w:szCs w:val="18"/>
    </w:rPr>
  </w:style>
  <w:style w:type="character" w:customStyle="1" w:styleId="21">
    <w:name w:val="标题 3 Char"/>
    <w:basedOn w:val="12"/>
    <w:link w:val="2"/>
    <w:qFormat/>
    <w:uiPriority w:val="9"/>
    <w:rPr>
      <w:rFonts w:ascii="Calibri" w:hAnsi="Calibri" w:eastAsia="Calibri" w:cs="Times New Roman"/>
      <w:b/>
      <w:sz w:val="32"/>
      <w:szCs w:val="32"/>
    </w:rPr>
  </w:style>
  <w:style w:type="character" w:customStyle="1" w:styleId="22">
    <w:name w:val="标题 3 Char2 Char"/>
    <w:qFormat/>
    <w:uiPriority w:val="0"/>
    <w:rPr>
      <w:rFonts w:eastAsia="宋体"/>
      <w:b/>
      <w:bCs/>
      <w:kern w:val="2"/>
      <w:sz w:val="32"/>
      <w:szCs w:val="32"/>
      <w:lang w:val="en-US" w:eastAsia="zh-CN" w:bidi="ar-SA"/>
    </w:rPr>
  </w:style>
  <w:style w:type="paragraph" w:styleId="23">
    <w:name w:val="List Paragraph"/>
    <w:basedOn w:val="1"/>
    <w:qFormat/>
    <w:uiPriority w:val="34"/>
    <w:pPr>
      <w:ind w:firstLine="420" w:firstLineChars="200"/>
    </w:pPr>
  </w:style>
  <w:style w:type="paragraph" w:customStyle="1" w:styleId="24">
    <w:name w:val="编书统一要求格式 Char"/>
    <w:basedOn w:val="1"/>
    <w:qFormat/>
    <w:uiPriority w:val="99"/>
    <w:pPr>
      <w:widowControl w:val="0"/>
      <w:spacing w:after="0" w:line="300" w:lineRule="auto"/>
      <w:ind w:firstLine="200" w:firstLineChars="200"/>
      <w:jc w:val="both"/>
    </w:pPr>
    <w:rPr>
      <w:rFonts w:ascii="宋体" w:hAnsi="宋体" w:eastAsia="宋体" w:cs="Times New Roman"/>
      <w:w w:val="90"/>
      <w:sz w:val="28"/>
      <w:szCs w:val="24"/>
    </w:rPr>
  </w:style>
  <w:style w:type="character" w:customStyle="1" w:styleId="25">
    <w:name w:val="批注文字 Char"/>
    <w:basedOn w:val="12"/>
    <w:link w:val="5"/>
    <w:qFormat/>
    <w:uiPriority w:val="99"/>
    <w:rPr>
      <w:rFonts w:ascii="Times New Roman" w:hAnsi="Times New Roman" w:eastAsia="宋体" w:cs="Times New Roman"/>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hart" Target="charts/chart30.xml"/><Relationship Id="rId35" Type="http://schemas.openxmlformats.org/officeDocument/2006/relationships/chart" Target="charts/chart29.xml"/><Relationship Id="rId34" Type="http://schemas.openxmlformats.org/officeDocument/2006/relationships/chart" Target="charts/chart28.xml"/><Relationship Id="rId33" Type="http://schemas.openxmlformats.org/officeDocument/2006/relationships/chart" Target="charts/chart27.xml"/><Relationship Id="rId32" Type="http://schemas.openxmlformats.org/officeDocument/2006/relationships/chart" Target="charts/chart26.xml"/><Relationship Id="rId31" Type="http://schemas.openxmlformats.org/officeDocument/2006/relationships/chart" Target="charts/chart25.xml"/><Relationship Id="rId30" Type="http://schemas.openxmlformats.org/officeDocument/2006/relationships/chart" Target="charts/chart24.xml"/><Relationship Id="rId3" Type="http://schemas.openxmlformats.org/officeDocument/2006/relationships/footnotes" Target="footnotes.xml"/><Relationship Id="rId29" Type="http://schemas.openxmlformats.org/officeDocument/2006/relationships/image" Target="media/image1.png"/><Relationship Id="rId28" Type="http://schemas.openxmlformats.org/officeDocument/2006/relationships/chart" Target="charts/chart23.xml"/><Relationship Id="rId27" Type="http://schemas.openxmlformats.org/officeDocument/2006/relationships/chart" Target="charts/chart22.xml"/><Relationship Id="rId26" Type="http://schemas.openxmlformats.org/officeDocument/2006/relationships/chart" Target="charts/chart21.xml"/><Relationship Id="rId25" Type="http://schemas.openxmlformats.org/officeDocument/2006/relationships/chart" Target="charts/chart20.xml"/><Relationship Id="rId24" Type="http://schemas.openxmlformats.org/officeDocument/2006/relationships/chart" Target="charts/chart19.xml"/><Relationship Id="rId23" Type="http://schemas.openxmlformats.org/officeDocument/2006/relationships/chart" Target="charts/chart18.xml"/><Relationship Id="rId22" Type="http://schemas.openxmlformats.org/officeDocument/2006/relationships/chart" Target="charts/chart17.xml"/><Relationship Id="rId21" Type="http://schemas.openxmlformats.org/officeDocument/2006/relationships/chart" Target="charts/chart16.xml"/><Relationship Id="rId20" Type="http://schemas.openxmlformats.org/officeDocument/2006/relationships/chart" Target="charts/chart15.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J:\&#26700;&#38754;\&#32479;&#35745;&#34920;&#2668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QQ&#25509;&#21463;\&#24930;&#30149;&#31034;&#33539;&#21306;5&#24180;&#22797;&#23457;\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QQ&#25509;&#21463;\&#24930;&#30149;&#31034;&#33539;&#21306;5&#24180;&#22797;&#23457;\Book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QQ&#25509;&#21463;\&#24930;&#30149;&#31034;&#33539;&#21306;5&#24180;&#22797;&#23457;\Book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QQ&#25509;&#21463;\&#24930;&#30149;&#31034;&#33539;&#21306;5&#24180;&#22797;&#23457;\Book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QQ&#25509;&#21463;\&#24930;&#30149;&#31034;&#33539;&#21306;5&#24180;&#22797;&#23457;\Book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QQ&#25509;&#21463;\&#24930;&#30149;&#31034;&#33539;&#21306;5&#24180;&#22797;&#23457;\Book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QQ&#25509;&#21463;\B&#24930;&#30149;&#30417;&#27979;\&#20013;&#32423;&#35770;&#25991;&#32032;&#26448;\15-18&#21457;&#30149;&#2957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QQ&#25509;&#21463;\B&#24930;&#30149;&#30417;&#27979;\&#20013;&#32423;&#35770;&#25991;&#32032;&#26448;\15-18&#21457;&#30149;&#2957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QQ&#25509;&#21463;\B&#24930;&#30149;&#30417;&#27979;\&#20013;&#32423;&#35770;&#25991;&#32032;&#26448;\15-18&#21457;&#30149;&#2957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33258;&#28982;&#21367;&#33459;&#33459;\&#27515;&#22240;&#24930;&#30149;&#24180;&#25253;&#34920;\&#31616;&#30053;&#23551;&#21629;.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33258;&#28982;&#21367;&#33459;&#33459;\&#27515;&#22240;&#24930;&#30149;&#24180;&#25253;&#34920;\&#31616;&#30053;&#23551;&#21629;.xls"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QQ&#25509;&#21463;\A&#33459;&#32418;&#22992;\2019&#31038;&#21306;&#35786;&#26029;\2019&#31038;&#21306;&#35786;&#26029;&#21407;&#22987;&#34920;&#266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26700;&#38754;\&#32479;&#35745;&#34920;&#266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26700;&#38754;\&#32479;&#35745;&#34920;&#266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26700;&#38754;\&#32479;&#35745;&#34920;&#2668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J:\&#26700;&#38754;\&#32479;&#35745;&#34920;&#2668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J:\&#26700;&#38754;\&#32479;&#35745;&#34920;&#266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QQ&#25509;&#21463;\&#24930;&#30149;&#31034;&#33539;&#21306;5&#24180;&#22797;&#23457;\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男性</c:f>
              <c:strCache>
                <c:ptCount val="1"/>
                <c:pt idx="0">
                  <c:v>男性</c:v>
                </c:pt>
              </c:strCache>
            </c:strRef>
          </c:tx>
          <c:dLbls>
            <c:delete val="1"/>
          </c:dLbls>
          <c:cat>
            <c:strRef>
              <c:f>[2]Sheet1!$A$80:$A$90</c:f>
              <c:strCache>
                <c:ptCount val="11"/>
                <c:pt idx="0">
                  <c:v>*0～</c:v>
                </c:pt>
                <c:pt idx="1">
                  <c:v>*1～</c:v>
                </c:pt>
                <c:pt idx="2">
                  <c:v>5～</c:v>
                </c:pt>
                <c:pt idx="3">
                  <c:v>15～</c:v>
                </c:pt>
                <c:pt idx="4">
                  <c:v>25～</c:v>
                </c:pt>
                <c:pt idx="5">
                  <c:v>35～</c:v>
                </c:pt>
                <c:pt idx="6">
                  <c:v>45～</c:v>
                </c:pt>
                <c:pt idx="7">
                  <c:v>55～</c:v>
                </c:pt>
                <c:pt idx="8">
                  <c:v>65～</c:v>
                </c:pt>
                <c:pt idx="9">
                  <c:v>75～</c:v>
                </c:pt>
                <c:pt idx="10">
                  <c:v>85～</c:v>
                </c:pt>
              </c:strCache>
            </c:strRef>
          </c:cat>
          <c:val>
            <c:numRef>
              <c:f>[2]Sheet1!$D$80:$D$90</c:f>
              <c:numCache>
                <c:formatCode>General</c:formatCode>
                <c:ptCount val="11"/>
                <c:pt idx="0">
                  <c:v>208.907036368817</c:v>
                </c:pt>
                <c:pt idx="1">
                  <c:v>148.767131959612</c:v>
                </c:pt>
                <c:pt idx="2">
                  <c:v>11.6339268575018</c:v>
                </c:pt>
                <c:pt idx="3">
                  <c:v>35.8850482288403</c:v>
                </c:pt>
                <c:pt idx="4">
                  <c:v>51.4827261284282</c:v>
                </c:pt>
                <c:pt idx="5">
                  <c:v>121.888618268002</c:v>
                </c:pt>
                <c:pt idx="6">
                  <c:v>318.446446285961</c:v>
                </c:pt>
                <c:pt idx="7">
                  <c:v>763.892906236485</c:v>
                </c:pt>
                <c:pt idx="8">
                  <c:v>1753.68870783447</c:v>
                </c:pt>
                <c:pt idx="9">
                  <c:v>5500.32579354</c:v>
                </c:pt>
                <c:pt idx="10">
                  <c:v>15709.6051043283</c:v>
                </c:pt>
              </c:numCache>
            </c:numRef>
          </c:val>
          <c:smooth val="0"/>
        </c:ser>
        <c:ser>
          <c:idx val="1"/>
          <c:order val="1"/>
          <c:tx>
            <c:strRef>
              <c:f>女性</c:f>
              <c:strCache>
                <c:ptCount val="1"/>
                <c:pt idx="0">
                  <c:v>女性</c:v>
                </c:pt>
              </c:strCache>
            </c:strRef>
          </c:tx>
          <c:dLbls>
            <c:delete val="1"/>
          </c:dLbls>
          <c:cat>
            <c:strRef>
              <c:f>[2]Sheet1!$A$80:$A$90</c:f>
              <c:strCache>
                <c:ptCount val="11"/>
                <c:pt idx="0">
                  <c:v>*0～</c:v>
                </c:pt>
                <c:pt idx="1">
                  <c:v>*1～</c:v>
                </c:pt>
                <c:pt idx="2">
                  <c:v>5～</c:v>
                </c:pt>
                <c:pt idx="3">
                  <c:v>15～</c:v>
                </c:pt>
                <c:pt idx="4">
                  <c:v>25～</c:v>
                </c:pt>
                <c:pt idx="5">
                  <c:v>35～</c:v>
                </c:pt>
                <c:pt idx="6">
                  <c:v>45～</c:v>
                </c:pt>
                <c:pt idx="7">
                  <c:v>55～</c:v>
                </c:pt>
                <c:pt idx="8">
                  <c:v>65～</c:v>
                </c:pt>
                <c:pt idx="9">
                  <c:v>75～</c:v>
                </c:pt>
                <c:pt idx="10">
                  <c:v>85～</c:v>
                </c:pt>
              </c:strCache>
            </c:strRef>
          </c:cat>
          <c:val>
            <c:numRef>
              <c:f>[2]Sheet1!$G$80:$G$90</c:f>
              <c:numCache>
                <c:formatCode>General</c:formatCode>
                <c:ptCount val="11"/>
                <c:pt idx="0">
                  <c:v>189.400707572455</c:v>
                </c:pt>
                <c:pt idx="1">
                  <c:v>132.22313547511</c:v>
                </c:pt>
                <c:pt idx="2">
                  <c:v>10.3877756655967</c:v>
                </c:pt>
                <c:pt idx="3">
                  <c:v>16.8739843512137</c:v>
                </c:pt>
                <c:pt idx="4">
                  <c:v>23.7830780869296</c:v>
                </c:pt>
                <c:pt idx="5">
                  <c:v>56.3766213597185</c:v>
                </c:pt>
                <c:pt idx="6">
                  <c:v>118.929906055203</c:v>
                </c:pt>
                <c:pt idx="7">
                  <c:v>303.115321351752</c:v>
                </c:pt>
                <c:pt idx="8">
                  <c:v>906.082391874928</c:v>
                </c:pt>
                <c:pt idx="9">
                  <c:v>4040.15146102736</c:v>
                </c:pt>
                <c:pt idx="10">
                  <c:v>13846.0762303559</c:v>
                </c:pt>
              </c:numCache>
            </c:numRef>
          </c:val>
          <c:smooth val="0"/>
        </c:ser>
        <c:ser>
          <c:idx val="2"/>
          <c:order val="2"/>
          <c:tx>
            <c:strRef>
              <c:f>合计</c:f>
              <c:strCache>
                <c:ptCount val="1"/>
                <c:pt idx="0">
                  <c:v>合计</c:v>
                </c:pt>
              </c:strCache>
            </c:strRef>
          </c:tx>
          <c:dLbls>
            <c:delete val="1"/>
          </c:dLbls>
          <c:cat>
            <c:strRef>
              <c:f>[2]Sheet1!$A$80:$A$90</c:f>
              <c:strCache>
                <c:ptCount val="11"/>
                <c:pt idx="0">
                  <c:v>*0～</c:v>
                </c:pt>
                <c:pt idx="1">
                  <c:v>*1～</c:v>
                </c:pt>
                <c:pt idx="2">
                  <c:v>5～</c:v>
                </c:pt>
                <c:pt idx="3">
                  <c:v>15～</c:v>
                </c:pt>
                <c:pt idx="4">
                  <c:v>25～</c:v>
                </c:pt>
                <c:pt idx="5">
                  <c:v>35～</c:v>
                </c:pt>
                <c:pt idx="6">
                  <c:v>45～</c:v>
                </c:pt>
                <c:pt idx="7">
                  <c:v>55～</c:v>
                </c:pt>
                <c:pt idx="8">
                  <c:v>65～</c:v>
                </c:pt>
                <c:pt idx="9">
                  <c:v>75～</c:v>
                </c:pt>
                <c:pt idx="10">
                  <c:v>85～</c:v>
                </c:pt>
              </c:strCache>
            </c:strRef>
          </c:cat>
          <c:val>
            <c:numRef>
              <c:f>[2]Sheet1!$J$80:$J$90</c:f>
              <c:numCache>
                <c:formatCode>General</c:formatCode>
                <c:ptCount val="11"/>
                <c:pt idx="0">
                  <c:v>199.744863703502</c:v>
                </c:pt>
                <c:pt idx="1">
                  <c:v>140.996374378945</c:v>
                </c:pt>
                <c:pt idx="2">
                  <c:v>11.0650418969908</c:v>
                </c:pt>
                <c:pt idx="3">
                  <c:v>26.8493819411754</c:v>
                </c:pt>
                <c:pt idx="4">
                  <c:v>38.11003539836</c:v>
                </c:pt>
                <c:pt idx="5">
                  <c:v>88.6998732551021</c:v>
                </c:pt>
                <c:pt idx="6">
                  <c:v>217.726121577314</c:v>
                </c:pt>
                <c:pt idx="7">
                  <c:v>533.330030127985</c:v>
                </c:pt>
                <c:pt idx="8">
                  <c:v>1332.14073290442</c:v>
                </c:pt>
                <c:pt idx="9">
                  <c:v>4755.11152839945</c:v>
                </c:pt>
                <c:pt idx="10">
                  <c:v>14633.2935108832</c:v>
                </c:pt>
              </c:numCache>
            </c:numRef>
          </c:val>
          <c:smooth val="0"/>
        </c:ser>
        <c:dLbls>
          <c:showLegendKey val="0"/>
          <c:showVal val="0"/>
          <c:showCatName val="0"/>
          <c:showSerName val="0"/>
          <c:showPercent val="0"/>
          <c:showBubbleSize val="0"/>
        </c:dLbls>
        <c:marker val="1"/>
        <c:smooth val="0"/>
        <c:axId val="282969216"/>
        <c:axId val="283046272"/>
      </c:lineChart>
      <c:catAx>
        <c:axId val="28296921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年龄组（岁）</a:t>
                </a:r>
                <a:endParaRPr lang="zh-CN" altLang="en-US"/>
              </a:p>
            </c:rich>
          </c:tx>
          <c:layout>
            <c:manualLayout>
              <c:xMode val="edge"/>
              <c:yMode val="edge"/>
              <c:x val="0.862656604126265"/>
              <c:y val="0.805555555555556"/>
            </c:manualLayout>
          </c:layout>
          <c:overlay val="0"/>
        </c:title>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3046272"/>
        <c:crosses val="autoZero"/>
        <c:auto val="1"/>
        <c:lblAlgn val="ctr"/>
        <c:lblOffset val="100"/>
        <c:noMultiLvlLbl val="0"/>
      </c:catAx>
      <c:valAx>
        <c:axId val="283046272"/>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死亡率（</a:t>
                </a:r>
                <a:r>
                  <a:rPr lang="en-US" altLang="zh-CN"/>
                  <a:t>/10</a:t>
                </a:r>
                <a:r>
                  <a:rPr lang="zh-CN" altLang="en-US"/>
                  <a:t>万）</a:t>
                </a:r>
                <a:endParaRPr lang="zh-CN" altLang="en-US"/>
              </a:p>
            </c:rich>
          </c:tx>
          <c:layout>
            <c:manualLayout>
              <c:xMode val="edge"/>
              <c:yMode val="edge"/>
              <c:x val="0.0217606330365974"/>
              <c:y val="0.0440084572761739"/>
            </c:manualLayout>
          </c:layout>
          <c:overlay val="0"/>
        </c:title>
        <c:numFmt formatCode="0_ "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29692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糖尿病!$E$40</c:f>
              <c:strCache>
                <c:ptCount val="1"/>
                <c:pt idx="0">
                  <c:v>男</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糖尿病!$B$41:$B$45</c:f>
              <c:numCache>
                <c:formatCode>General</c:formatCode>
                <c:ptCount val="5"/>
                <c:pt idx="0">
                  <c:v>2015</c:v>
                </c:pt>
                <c:pt idx="1">
                  <c:v>2016</c:v>
                </c:pt>
                <c:pt idx="2">
                  <c:v>2017</c:v>
                </c:pt>
                <c:pt idx="3">
                  <c:v>2018</c:v>
                </c:pt>
                <c:pt idx="4">
                  <c:v>2019</c:v>
                </c:pt>
              </c:numCache>
            </c:numRef>
          </c:cat>
          <c:val>
            <c:numRef>
              <c:f>糖尿病!$E$41:$E$45</c:f>
              <c:numCache>
                <c:formatCode>General</c:formatCode>
                <c:ptCount val="5"/>
                <c:pt idx="0">
                  <c:v>463.7</c:v>
                </c:pt>
                <c:pt idx="1">
                  <c:v>420.07</c:v>
                </c:pt>
                <c:pt idx="2">
                  <c:v>319.32</c:v>
                </c:pt>
                <c:pt idx="3">
                  <c:v>314.74</c:v>
                </c:pt>
                <c:pt idx="4">
                  <c:v>305.64</c:v>
                </c:pt>
              </c:numCache>
            </c:numRef>
          </c:val>
        </c:ser>
        <c:ser>
          <c:idx val="3"/>
          <c:order val="1"/>
          <c:tx>
            <c:strRef>
              <c:f>糖尿病!$F$40</c:f>
              <c:strCache>
                <c:ptCount val="1"/>
                <c:pt idx="0">
                  <c:v>女</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糖尿病!$B$41:$B$45</c:f>
              <c:numCache>
                <c:formatCode>General</c:formatCode>
                <c:ptCount val="5"/>
                <c:pt idx="0">
                  <c:v>2015</c:v>
                </c:pt>
                <c:pt idx="1">
                  <c:v>2016</c:v>
                </c:pt>
                <c:pt idx="2">
                  <c:v>2017</c:v>
                </c:pt>
                <c:pt idx="3">
                  <c:v>2018</c:v>
                </c:pt>
                <c:pt idx="4">
                  <c:v>2019</c:v>
                </c:pt>
              </c:numCache>
            </c:numRef>
          </c:cat>
          <c:val>
            <c:numRef>
              <c:f>糖尿病!$F$41:$F$45</c:f>
              <c:numCache>
                <c:formatCode>General</c:formatCode>
                <c:ptCount val="5"/>
                <c:pt idx="0">
                  <c:v>502.47</c:v>
                </c:pt>
                <c:pt idx="1">
                  <c:v>564.670000000001</c:v>
                </c:pt>
                <c:pt idx="2">
                  <c:v>464.71</c:v>
                </c:pt>
                <c:pt idx="3">
                  <c:v>413.1</c:v>
                </c:pt>
                <c:pt idx="4">
                  <c:v>393.81</c:v>
                </c:pt>
              </c:numCache>
            </c:numRef>
          </c:val>
        </c:ser>
        <c:dLbls>
          <c:showLegendKey val="0"/>
          <c:showVal val="1"/>
          <c:showCatName val="0"/>
          <c:showSerName val="0"/>
          <c:showPercent val="0"/>
          <c:showBubbleSize val="0"/>
        </c:dLbls>
        <c:gapWidth val="150"/>
        <c:axId val="35021568"/>
        <c:axId val="35023488"/>
      </c:barChart>
      <c:catAx>
        <c:axId val="35021568"/>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年份</a:t>
                </a:r>
                <a:endParaRPr lang="zh-CN" alt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023488"/>
        <c:crosses val="autoZero"/>
        <c:auto val="1"/>
        <c:lblAlgn val="ctr"/>
        <c:lblOffset val="100"/>
        <c:noMultiLvlLbl val="0"/>
      </c:catAx>
      <c:valAx>
        <c:axId val="35023488"/>
        <c:scaling>
          <c:orientation val="minMax"/>
        </c:scaling>
        <c:delete val="0"/>
        <c:axPos val="l"/>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sz="1000" b="1" i="0" baseline="0">
                    <a:latin typeface="+mn-lt"/>
                  </a:rPr>
                  <a:t>发病率（</a:t>
                </a:r>
                <a:r>
                  <a:rPr lang="en-US" sz="1000" b="1" i="0" baseline="0">
                    <a:latin typeface="+mn-lt"/>
                  </a:rPr>
                  <a:t>/10</a:t>
                </a:r>
                <a:r>
                  <a:rPr lang="zh-CN" sz="1000" b="1" i="0" baseline="0">
                    <a:latin typeface="+mn-lt"/>
                  </a:rPr>
                  <a:t>万）</a:t>
                </a:r>
                <a:endParaRPr lang="zh-CN" sz="1000">
                  <a:latin typeface="+mn-lt"/>
                </a:endParaRPr>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021568"/>
        <c:crosses val="autoZero"/>
        <c:crossBetween val="between"/>
      </c:valAx>
      <c:spPr>
        <a:noFill/>
        <a:ln w="25400">
          <a:noFill/>
        </a:ln>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noFill/>
      <a:prstDash val="solid"/>
      <a:round/>
    </a:ln>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糖尿病!$N$71</c:f>
              <c:strCache>
                <c:ptCount val="1"/>
                <c:pt idx="0">
                  <c:v>男</c:v>
                </c:pt>
              </c:strCache>
            </c:strRef>
          </c:tx>
          <c:marker>
            <c:symbol val="none"/>
          </c:marker>
          <c:dLbls>
            <c:delete val="1"/>
          </c:dLbls>
          <c:cat>
            <c:strRef>
              <c:f>糖尿病!$M$72:$M$80</c:f>
              <c:strCache>
                <c:ptCount val="9"/>
                <c:pt idx="0">
                  <c:v>0～</c:v>
                </c:pt>
                <c:pt idx="1">
                  <c:v>10～</c:v>
                </c:pt>
                <c:pt idx="2">
                  <c:v>20～</c:v>
                </c:pt>
                <c:pt idx="3">
                  <c:v>30～</c:v>
                </c:pt>
                <c:pt idx="4">
                  <c:v>40～</c:v>
                </c:pt>
                <c:pt idx="5">
                  <c:v>50～</c:v>
                </c:pt>
                <c:pt idx="6">
                  <c:v>60～</c:v>
                </c:pt>
                <c:pt idx="7">
                  <c:v>70～</c:v>
                </c:pt>
                <c:pt idx="8">
                  <c:v>80～</c:v>
                </c:pt>
              </c:strCache>
            </c:strRef>
          </c:cat>
          <c:val>
            <c:numRef>
              <c:f>糖尿病!$N$72:$N$80</c:f>
              <c:numCache>
                <c:formatCode>0.00_ </c:formatCode>
                <c:ptCount val="9"/>
                <c:pt idx="0">
                  <c:v>3.138</c:v>
                </c:pt>
                <c:pt idx="1">
                  <c:v>9.79</c:v>
                </c:pt>
                <c:pt idx="2">
                  <c:v>47.764</c:v>
                </c:pt>
                <c:pt idx="3">
                  <c:v>172.726</c:v>
                </c:pt>
                <c:pt idx="4">
                  <c:v>481.395999999999</c:v>
                </c:pt>
                <c:pt idx="5">
                  <c:v>762.843999999998</c:v>
                </c:pt>
                <c:pt idx="6">
                  <c:v>721.118</c:v>
                </c:pt>
                <c:pt idx="7">
                  <c:v>778.381999999998</c:v>
                </c:pt>
                <c:pt idx="8">
                  <c:v>686.335999999997</c:v>
                </c:pt>
              </c:numCache>
            </c:numRef>
          </c:val>
          <c:smooth val="0"/>
        </c:ser>
        <c:ser>
          <c:idx val="1"/>
          <c:order val="1"/>
          <c:tx>
            <c:strRef>
              <c:f>糖尿病!$O$71</c:f>
              <c:strCache>
                <c:ptCount val="1"/>
                <c:pt idx="0">
                  <c:v>女</c:v>
                </c:pt>
              </c:strCache>
            </c:strRef>
          </c:tx>
          <c:marker>
            <c:symbol val="none"/>
          </c:marker>
          <c:dLbls>
            <c:delete val="1"/>
          </c:dLbls>
          <c:cat>
            <c:strRef>
              <c:f>糖尿病!$M$72:$M$80</c:f>
              <c:strCache>
                <c:ptCount val="9"/>
                <c:pt idx="0">
                  <c:v>0～</c:v>
                </c:pt>
                <c:pt idx="1">
                  <c:v>10～</c:v>
                </c:pt>
                <c:pt idx="2">
                  <c:v>20～</c:v>
                </c:pt>
                <c:pt idx="3">
                  <c:v>30～</c:v>
                </c:pt>
                <c:pt idx="4">
                  <c:v>40～</c:v>
                </c:pt>
                <c:pt idx="5">
                  <c:v>50～</c:v>
                </c:pt>
                <c:pt idx="6">
                  <c:v>60～</c:v>
                </c:pt>
                <c:pt idx="7">
                  <c:v>70～</c:v>
                </c:pt>
                <c:pt idx="8">
                  <c:v>80～</c:v>
                </c:pt>
              </c:strCache>
            </c:strRef>
          </c:cat>
          <c:val>
            <c:numRef>
              <c:f>糖尿病!$O$72:$O$80</c:f>
              <c:numCache>
                <c:formatCode>0.00_ </c:formatCode>
                <c:ptCount val="9"/>
                <c:pt idx="0">
                  <c:v>1.954</c:v>
                </c:pt>
                <c:pt idx="1">
                  <c:v>8.408</c:v>
                </c:pt>
                <c:pt idx="2">
                  <c:v>762.296</c:v>
                </c:pt>
                <c:pt idx="3">
                  <c:v>618.76</c:v>
                </c:pt>
                <c:pt idx="4">
                  <c:v>234.602</c:v>
                </c:pt>
                <c:pt idx="5">
                  <c:v>590.682</c:v>
                </c:pt>
                <c:pt idx="6">
                  <c:v>739.538</c:v>
                </c:pt>
                <c:pt idx="7">
                  <c:v>863.045999999998</c:v>
                </c:pt>
                <c:pt idx="8">
                  <c:v>694.859999999997</c:v>
                </c:pt>
              </c:numCache>
            </c:numRef>
          </c:val>
          <c:smooth val="0"/>
        </c:ser>
        <c:ser>
          <c:idx val="2"/>
          <c:order val="2"/>
          <c:tx>
            <c:strRef>
              <c:f>糖尿病!$P$71</c:f>
              <c:strCache>
                <c:ptCount val="1"/>
                <c:pt idx="0">
                  <c:v>合计</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糖尿病!$M$72:$M$80</c:f>
              <c:strCache>
                <c:ptCount val="9"/>
                <c:pt idx="0">
                  <c:v>0～</c:v>
                </c:pt>
                <c:pt idx="1">
                  <c:v>10～</c:v>
                </c:pt>
                <c:pt idx="2">
                  <c:v>20～</c:v>
                </c:pt>
                <c:pt idx="3">
                  <c:v>30～</c:v>
                </c:pt>
                <c:pt idx="4">
                  <c:v>40～</c:v>
                </c:pt>
                <c:pt idx="5">
                  <c:v>50～</c:v>
                </c:pt>
                <c:pt idx="6">
                  <c:v>60～</c:v>
                </c:pt>
                <c:pt idx="7">
                  <c:v>70～</c:v>
                </c:pt>
                <c:pt idx="8">
                  <c:v>80～</c:v>
                </c:pt>
              </c:strCache>
            </c:strRef>
          </c:cat>
          <c:val>
            <c:numRef>
              <c:f>糖尿病!$P$72:$P$80</c:f>
              <c:numCache>
                <c:formatCode>0.00_ </c:formatCode>
                <c:ptCount val="9"/>
                <c:pt idx="0">
                  <c:v>2.608</c:v>
                </c:pt>
                <c:pt idx="1">
                  <c:v>9.156</c:v>
                </c:pt>
                <c:pt idx="2">
                  <c:v>381.682</c:v>
                </c:pt>
                <c:pt idx="3">
                  <c:v>391.058</c:v>
                </c:pt>
                <c:pt idx="4">
                  <c:v>356.062</c:v>
                </c:pt>
                <c:pt idx="5">
                  <c:v>678.072</c:v>
                </c:pt>
                <c:pt idx="6">
                  <c:v>735.41</c:v>
                </c:pt>
                <c:pt idx="7">
                  <c:v>829.222</c:v>
                </c:pt>
                <c:pt idx="8">
                  <c:v>699.11</c:v>
                </c:pt>
              </c:numCache>
            </c:numRef>
          </c:val>
          <c:smooth val="0"/>
        </c:ser>
        <c:dLbls>
          <c:showLegendKey val="0"/>
          <c:showVal val="0"/>
          <c:showCatName val="0"/>
          <c:showSerName val="0"/>
          <c:showPercent val="0"/>
          <c:showBubbleSize val="0"/>
        </c:dLbls>
        <c:marker val="0"/>
        <c:smooth val="0"/>
        <c:axId val="84742528"/>
        <c:axId val="84744448"/>
      </c:lineChart>
      <c:catAx>
        <c:axId val="84742528"/>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年龄组</a:t>
                </a:r>
                <a:endParaRPr lang="zh-CN" altLang="en-US"/>
              </a:p>
            </c:rich>
          </c:tx>
          <c:layout/>
          <c:overlay val="0"/>
        </c:title>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744448"/>
        <c:crosses val="autoZero"/>
        <c:auto val="1"/>
        <c:lblAlgn val="ctr"/>
        <c:lblOffset val="100"/>
        <c:noMultiLvlLbl val="0"/>
      </c:catAx>
      <c:valAx>
        <c:axId val="84744448"/>
        <c:scaling>
          <c:orientation val="minMax"/>
        </c:scaling>
        <c:delete val="0"/>
        <c:axPos val="l"/>
        <c:title>
          <c:tx>
            <c:rich>
              <a:bodyPr rot="0" spcFirstLastPara="0" vertOverflow="ellipsis" vert="wordArtVertRtl"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altLang="en-US" sz="1000" b="1" i="0" u="none" strike="noStrike" kern="1200" baseline="0">
                    <a:solidFill>
                      <a:sysClr val="windowText" lastClr="000000"/>
                    </a:solidFill>
                    <a:latin typeface="+mn-lt"/>
                    <a:ea typeface="+mn-ea"/>
                    <a:cs typeface="+mn-cs"/>
                  </a:defRPr>
                </a:pPr>
                <a:r>
                  <a:rPr lang="zh-CN" altLang="en-US" sz="1000" b="1" i="0" u="none" strike="noStrike" kern="1200" baseline="0">
                    <a:solidFill>
                      <a:sysClr val="windowText" lastClr="000000"/>
                    </a:solidFill>
                    <a:latin typeface="+mn-lt"/>
                    <a:ea typeface="+mn-ea"/>
                    <a:cs typeface="+mn-cs"/>
                  </a:rPr>
                  <a:t>发病率（/10万）</a:t>
                </a:r>
                <a:endParaRPr lang="zh-CN" altLang="en-US" sz="1000" b="1" i="0" u="none" strike="noStrike" kern="1200" baseline="0">
                  <a:solidFill>
                    <a:sysClr val="windowText" lastClr="000000"/>
                  </a:solidFill>
                  <a:latin typeface="+mn-lt"/>
                  <a:ea typeface="+mn-ea"/>
                  <a:cs typeface="+mn-cs"/>
                </a:endParaRPr>
              </a:p>
            </c:rich>
          </c:tx>
          <c:layout/>
          <c:overlay val="0"/>
        </c:title>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7425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cap="flat" cmpd="sng" algn="ctr">
      <a:noFill/>
      <a:prstDash val="solid"/>
      <a:round/>
    </a:ln>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67409332345"/>
          <c:y val="0.0325336550673104"/>
          <c:w val="0.739065985327604"/>
          <c:h val="0.823700575734486"/>
        </c:manualLayout>
      </c:layout>
      <c:lineChart>
        <c:grouping val="standard"/>
        <c:varyColors val="0"/>
        <c:ser>
          <c:idx val="0"/>
          <c:order val="0"/>
          <c:tx>
            <c:strRef>
              <c:f>冠心病!$C$38</c:f>
              <c:strCache>
                <c:ptCount val="1"/>
                <c:pt idx="0">
                  <c:v>急性心肌梗死</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冠心病!$B$39:$B$43</c:f>
              <c:numCache>
                <c:formatCode>General</c:formatCode>
                <c:ptCount val="5"/>
                <c:pt idx="0">
                  <c:v>2015</c:v>
                </c:pt>
                <c:pt idx="1">
                  <c:v>2016</c:v>
                </c:pt>
                <c:pt idx="2">
                  <c:v>2017</c:v>
                </c:pt>
                <c:pt idx="3">
                  <c:v>2018</c:v>
                </c:pt>
                <c:pt idx="4">
                  <c:v>2019</c:v>
                </c:pt>
              </c:numCache>
            </c:numRef>
          </c:cat>
          <c:val>
            <c:numRef>
              <c:f>冠心病!$C$39:$C$43</c:f>
              <c:numCache>
                <c:formatCode>General</c:formatCode>
                <c:ptCount val="5"/>
                <c:pt idx="0">
                  <c:v>62.85</c:v>
                </c:pt>
                <c:pt idx="1">
                  <c:v>66.79</c:v>
                </c:pt>
                <c:pt idx="2">
                  <c:v>75.71</c:v>
                </c:pt>
                <c:pt idx="3">
                  <c:v>58.79</c:v>
                </c:pt>
                <c:pt idx="4">
                  <c:v>28.19</c:v>
                </c:pt>
              </c:numCache>
            </c:numRef>
          </c:val>
          <c:smooth val="0"/>
        </c:ser>
        <c:ser>
          <c:idx val="1"/>
          <c:order val="1"/>
          <c:tx>
            <c:strRef>
              <c:f>冠心病!$D$38</c:f>
              <c:strCache>
                <c:ptCount val="1"/>
                <c:pt idx="0">
                  <c:v>心性猝死</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冠心病!$B$39:$B$43</c:f>
              <c:numCache>
                <c:formatCode>General</c:formatCode>
                <c:ptCount val="5"/>
                <c:pt idx="0">
                  <c:v>2015</c:v>
                </c:pt>
                <c:pt idx="1">
                  <c:v>2016</c:v>
                </c:pt>
                <c:pt idx="2">
                  <c:v>2017</c:v>
                </c:pt>
                <c:pt idx="3">
                  <c:v>2018</c:v>
                </c:pt>
                <c:pt idx="4">
                  <c:v>2019</c:v>
                </c:pt>
              </c:numCache>
            </c:numRef>
          </c:cat>
          <c:val>
            <c:numRef>
              <c:f>冠心病!$D$39:$D$43</c:f>
              <c:numCache>
                <c:formatCode>General</c:formatCode>
                <c:ptCount val="5"/>
                <c:pt idx="0">
                  <c:v>6.23</c:v>
                </c:pt>
                <c:pt idx="1">
                  <c:v>7.57</c:v>
                </c:pt>
                <c:pt idx="2">
                  <c:v>4.51</c:v>
                </c:pt>
                <c:pt idx="3">
                  <c:v>5.87</c:v>
                </c:pt>
                <c:pt idx="4">
                  <c:v>7.96</c:v>
                </c:pt>
              </c:numCache>
            </c:numRef>
          </c:val>
          <c:smooth val="0"/>
        </c:ser>
        <c:ser>
          <c:idx val="2"/>
          <c:order val="2"/>
          <c:tx>
            <c:strRef>
              <c:f>冠心病!$E$38</c:f>
              <c:strCache>
                <c:ptCount val="1"/>
                <c:pt idx="0">
                  <c:v>其他冠心病死亡</c:v>
                </c:pt>
              </c:strCache>
            </c:strRef>
          </c:tx>
          <c:marker>
            <c:symbol val="none"/>
          </c:marker>
          <c:dLbls>
            <c:dLbl>
              <c:idx val="2"/>
              <c:layout>
                <c:manualLayout>
                  <c:x val="0"/>
                  <c:y val="-0.043321299638989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冠心病!$B$39:$B$43</c:f>
              <c:numCache>
                <c:formatCode>General</c:formatCode>
                <c:ptCount val="5"/>
                <c:pt idx="0">
                  <c:v>2015</c:v>
                </c:pt>
                <c:pt idx="1">
                  <c:v>2016</c:v>
                </c:pt>
                <c:pt idx="2">
                  <c:v>2017</c:v>
                </c:pt>
                <c:pt idx="3">
                  <c:v>2018</c:v>
                </c:pt>
                <c:pt idx="4">
                  <c:v>2019</c:v>
                </c:pt>
              </c:numCache>
            </c:numRef>
          </c:cat>
          <c:val>
            <c:numRef>
              <c:f>冠心病!$E$39:$E$43</c:f>
              <c:numCache>
                <c:formatCode>General</c:formatCode>
                <c:ptCount val="5"/>
                <c:pt idx="0">
                  <c:v>1.72</c:v>
                </c:pt>
                <c:pt idx="1">
                  <c:v>1.62</c:v>
                </c:pt>
                <c:pt idx="2">
                  <c:v>3.52</c:v>
                </c:pt>
                <c:pt idx="3">
                  <c:v>3.25</c:v>
                </c:pt>
                <c:pt idx="4">
                  <c:v>6.21</c:v>
                </c:pt>
              </c:numCache>
            </c:numRef>
          </c:val>
          <c:smooth val="0"/>
        </c:ser>
        <c:dLbls>
          <c:showLegendKey val="0"/>
          <c:showVal val="1"/>
          <c:showCatName val="0"/>
          <c:showSerName val="0"/>
          <c:showPercent val="0"/>
          <c:showBubbleSize val="0"/>
        </c:dLbls>
        <c:marker val="0"/>
        <c:smooth val="0"/>
        <c:axId val="84784256"/>
        <c:axId val="84786176"/>
      </c:lineChart>
      <c:catAx>
        <c:axId val="84784256"/>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年份</a:t>
                </a:r>
                <a:endParaRPr lang="en-US" alt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786176"/>
        <c:crosses val="autoZero"/>
        <c:auto val="1"/>
        <c:lblAlgn val="ctr"/>
        <c:lblOffset val="100"/>
        <c:noMultiLvlLbl val="0"/>
      </c:catAx>
      <c:valAx>
        <c:axId val="84786176"/>
        <c:scaling>
          <c:orientation val="minMax"/>
        </c:scaling>
        <c:delete val="0"/>
        <c:axPos val="l"/>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发病率（</a:t>
                </a:r>
                <a:r>
                  <a:rPr lang="en-US" altLang="zh-CN"/>
                  <a:t>/10</a:t>
                </a:r>
                <a:r>
                  <a:rPr lang="zh-CN" altLang="en-US"/>
                  <a:t>万）</a:t>
                </a:r>
                <a:endParaRPr lang="zh-CN" alt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7842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noFill/>
      <a:prstDash val="solid"/>
      <a:round/>
    </a:ln>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男</c:f>
              <c:strCache>
                <c:ptCount val="1"/>
                <c:pt idx="0">
                  <c:v>男</c:v>
                </c:pt>
              </c:strCache>
            </c:strRef>
          </c:tx>
          <c:marker>
            <c:symbol val="none"/>
          </c:marker>
          <c:dLbls>
            <c:delete val="1"/>
          </c:dLbls>
          <c:cat>
            <c:strRef>
              <c:f>冠心病!$M$55:$M$63</c:f>
              <c:strCache>
                <c:ptCount val="9"/>
                <c:pt idx="0">
                  <c:v>0～</c:v>
                </c:pt>
                <c:pt idx="1">
                  <c:v>10～</c:v>
                </c:pt>
                <c:pt idx="2">
                  <c:v>20～</c:v>
                </c:pt>
                <c:pt idx="3">
                  <c:v>30～</c:v>
                </c:pt>
                <c:pt idx="4">
                  <c:v>40～</c:v>
                </c:pt>
                <c:pt idx="5">
                  <c:v>50～</c:v>
                </c:pt>
                <c:pt idx="6">
                  <c:v>60～</c:v>
                </c:pt>
                <c:pt idx="7">
                  <c:v>70～</c:v>
                </c:pt>
                <c:pt idx="8">
                  <c:v>80～</c:v>
                </c:pt>
              </c:strCache>
            </c:strRef>
          </c:cat>
          <c:val>
            <c:numRef>
              <c:f>冠心病!$N$55:$N$63</c:f>
              <c:numCache>
                <c:formatCode>0.00_ </c:formatCode>
                <c:ptCount val="9"/>
                <c:pt idx="0">
                  <c:v>0.640000000000003</c:v>
                </c:pt>
                <c:pt idx="1">
                  <c:v>2.436</c:v>
                </c:pt>
                <c:pt idx="2">
                  <c:v>5.19799999999998</c:v>
                </c:pt>
                <c:pt idx="3">
                  <c:v>16.492</c:v>
                </c:pt>
                <c:pt idx="4">
                  <c:v>38.1920000000002</c:v>
                </c:pt>
                <c:pt idx="5">
                  <c:v>88.06</c:v>
                </c:pt>
                <c:pt idx="6">
                  <c:v>164.736</c:v>
                </c:pt>
                <c:pt idx="7">
                  <c:v>382.304</c:v>
                </c:pt>
                <c:pt idx="8">
                  <c:v>885.482</c:v>
                </c:pt>
              </c:numCache>
            </c:numRef>
          </c:val>
          <c:smooth val="0"/>
        </c:ser>
        <c:ser>
          <c:idx val="1"/>
          <c:order val="1"/>
          <c:tx>
            <c:strRef>
              <c:f>女</c:f>
              <c:strCache>
                <c:ptCount val="1"/>
                <c:pt idx="0">
                  <c:v>女</c:v>
                </c:pt>
              </c:strCache>
            </c:strRef>
          </c:tx>
          <c:marker>
            <c:symbol val="none"/>
          </c:marker>
          <c:dLbls>
            <c:delete val="1"/>
          </c:dLbls>
          <c:cat>
            <c:strRef>
              <c:f>冠心病!$M$55:$M$63</c:f>
              <c:strCache>
                <c:ptCount val="9"/>
                <c:pt idx="0">
                  <c:v>0～</c:v>
                </c:pt>
                <c:pt idx="1">
                  <c:v>10～</c:v>
                </c:pt>
                <c:pt idx="2">
                  <c:v>20～</c:v>
                </c:pt>
                <c:pt idx="3">
                  <c:v>30～</c:v>
                </c:pt>
                <c:pt idx="4">
                  <c:v>40～</c:v>
                </c:pt>
                <c:pt idx="5">
                  <c:v>50～</c:v>
                </c:pt>
                <c:pt idx="6">
                  <c:v>60～</c:v>
                </c:pt>
                <c:pt idx="7">
                  <c:v>70～</c:v>
                </c:pt>
                <c:pt idx="8">
                  <c:v>80～</c:v>
                </c:pt>
              </c:strCache>
            </c:strRef>
          </c:cat>
          <c:val>
            <c:numRef>
              <c:f>冠心病!$O$55:$O$63</c:f>
              <c:numCache>
                <c:formatCode>0.00_ </c:formatCode>
                <c:ptCount val="9"/>
                <c:pt idx="0">
                  <c:v>2.31</c:v>
                </c:pt>
                <c:pt idx="1">
                  <c:v>0.364</c:v>
                </c:pt>
                <c:pt idx="2">
                  <c:v>2.42</c:v>
                </c:pt>
                <c:pt idx="3">
                  <c:v>3.058</c:v>
                </c:pt>
                <c:pt idx="4">
                  <c:v>10.71</c:v>
                </c:pt>
                <c:pt idx="5">
                  <c:v>25.266</c:v>
                </c:pt>
                <c:pt idx="6">
                  <c:v>85.614</c:v>
                </c:pt>
                <c:pt idx="7">
                  <c:v>277.427999999999</c:v>
                </c:pt>
                <c:pt idx="8">
                  <c:v>678.72</c:v>
                </c:pt>
              </c:numCache>
            </c:numRef>
          </c:val>
          <c:smooth val="0"/>
        </c:ser>
        <c:ser>
          <c:idx val="2"/>
          <c:order val="2"/>
          <c:tx>
            <c:strRef>
              <c:f>合计</c:f>
              <c:strCache>
                <c:ptCount val="1"/>
                <c:pt idx="0">
                  <c:v>合计</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冠心病!$M$55:$M$63</c:f>
              <c:strCache>
                <c:ptCount val="9"/>
                <c:pt idx="0">
                  <c:v>0～</c:v>
                </c:pt>
                <c:pt idx="1">
                  <c:v>10～</c:v>
                </c:pt>
                <c:pt idx="2">
                  <c:v>20～</c:v>
                </c:pt>
                <c:pt idx="3">
                  <c:v>30～</c:v>
                </c:pt>
                <c:pt idx="4">
                  <c:v>40～</c:v>
                </c:pt>
                <c:pt idx="5">
                  <c:v>50～</c:v>
                </c:pt>
                <c:pt idx="6">
                  <c:v>60～</c:v>
                </c:pt>
                <c:pt idx="7">
                  <c:v>70～</c:v>
                </c:pt>
                <c:pt idx="8">
                  <c:v>80～</c:v>
                </c:pt>
              </c:strCache>
            </c:strRef>
          </c:cat>
          <c:val>
            <c:numRef>
              <c:f>冠心病!$P$55:$P$63</c:f>
              <c:numCache>
                <c:formatCode>0.00_ </c:formatCode>
                <c:ptCount val="9"/>
                <c:pt idx="0">
                  <c:v>1.396</c:v>
                </c:pt>
                <c:pt idx="1">
                  <c:v>1.484</c:v>
                </c:pt>
                <c:pt idx="2">
                  <c:v>3.866</c:v>
                </c:pt>
                <c:pt idx="3">
                  <c:v>9.744</c:v>
                </c:pt>
                <c:pt idx="4">
                  <c:v>24.234</c:v>
                </c:pt>
                <c:pt idx="5">
                  <c:v>56.658</c:v>
                </c:pt>
                <c:pt idx="6">
                  <c:v>126.166</c:v>
                </c:pt>
                <c:pt idx="7">
                  <c:v>333.917999999999</c:v>
                </c:pt>
                <c:pt idx="8">
                  <c:v>778.982</c:v>
                </c:pt>
              </c:numCache>
            </c:numRef>
          </c:val>
          <c:smooth val="0"/>
        </c:ser>
        <c:dLbls>
          <c:showLegendKey val="0"/>
          <c:showVal val="0"/>
          <c:showCatName val="0"/>
          <c:showSerName val="0"/>
          <c:showPercent val="0"/>
          <c:showBubbleSize val="0"/>
        </c:dLbls>
        <c:marker val="0"/>
        <c:smooth val="0"/>
        <c:axId val="35549952"/>
        <c:axId val="35551872"/>
      </c:lineChart>
      <c:catAx>
        <c:axId val="35549952"/>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年龄组</a:t>
                </a:r>
                <a:endParaRPr lang="zh-CN" altLang="en-US"/>
              </a:p>
            </c:rich>
          </c:tx>
          <c:layout/>
          <c:overlay val="0"/>
        </c:title>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551872"/>
        <c:crosses val="autoZero"/>
        <c:auto val="1"/>
        <c:lblAlgn val="ctr"/>
        <c:lblOffset val="100"/>
        <c:noMultiLvlLbl val="0"/>
      </c:catAx>
      <c:valAx>
        <c:axId val="35551872"/>
        <c:scaling>
          <c:orientation val="minMax"/>
        </c:scaling>
        <c:delete val="0"/>
        <c:axPos val="l"/>
        <c:title>
          <c:tx>
            <c:rich>
              <a:bodyPr rot="0" spcFirstLastPara="0" vertOverflow="ellipsis" vert="wordArtVertRtl"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altLang="en-US" sz="1000" b="1" i="0" u="none" strike="noStrike" kern="1200" baseline="0">
                    <a:solidFill>
                      <a:sysClr val="windowText" lastClr="000000"/>
                    </a:solidFill>
                    <a:latin typeface="+mn-lt"/>
                    <a:ea typeface="+mn-ea"/>
                    <a:cs typeface="+mn-cs"/>
                  </a:defRPr>
                </a:pPr>
                <a:r>
                  <a:rPr lang="zh-CN" altLang="en-US" sz="1000" b="1" i="0" u="none" strike="noStrike" kern="1200" baseline="0">
                    <a:solidFill>
                      <a:sysClr val="windowText" lastClr="000000"/>
                    </a:solidFill>
                    <a:latin typeface="+mn-lt"/>
                    <a:ea typeface="+mn-ea"/>
                    <a:cs typeface="+mn-cs"/>
                  </a:rPr>
                  <a:t>发病率（/10万）</a:t>
                </a:r>
                <a:endParaRPr lang="zh-CN" altLang="en-US" sz="1000" b="1" i="0" u="none" strike="noStrike" kern="1200" baseline="0">
                  <a:solidFill>
                    <a:sysClr val="windowText" lastClr="000000"/>
                  </a:solidFill>
                  <a:latin typeface="+mn-lt"/>
                  <a:ea typeface="+mn-ea"/>
                  <a:cs typeface="+mn-cs"/>
                </a:endParaRPr>
              </a:p>
            </c:rich>
          </c:tx>
          <c:layout/>
          <c:overlay val="0"/>
        </c:title>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5499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脑卒中!$C$52</c:f>
              <c:strCache>
                <c:ptCount val="1"/>
                <c:pt idx="0">
                  <c:v>脑梗塞</c:v>
                </c:pt>
              </c:strCache>
            </c:strRef>
          </c:tx>
          <c:marker>
            <c:symbol val="none"/>
          </c:marker>
          <c:dLbls>
            <c:delete val="1"/>
          </c:dLbls>
          <c:cat>
            <c:numRef>
              <c:f>脑卒中!$B$53:$B$57</c:f>
              <c:numCache>
                <c:formatCode>General</c:formatCode>
                <c:ptCount val="5"/>
                <c:pt idx="0">
                  <c:v>2015</c:v>
                </c:pt>
                <c:pt idx="1">
                  <c:v>2016</c:v>
                </c:pt>
                <c:pt idx="2">
                  <c:v>2017</c:v>
                </c:pt>
                <c:pt idx="3">
                  <c:v>2018</c:v>
                </c:pt>
                <c:pt idx="4">
                  <c:v>2019</c:v>
                </c:pt>
              </c:numCache>
            </c:numRef>
          </c:cat>
          <c:val>
            <c:numRef>
              <c:f>脑卒中!$C$53:$C$57</c:f>
              <c:numCache>
                <c:formatCode>General</c:formatCode>
                <c:ptCount val="5"/>
                <c:pt idx="0">
                  <c:v>256.289999999999</c:v>
                </c:pt>
                <c:pt idx="1">
                  <c:v>266.36</c:v>
                </c:pt>
                <c:pt idx="2">
                  <c:v>285.88</c:v>
                </c:pt>
                <c:pt idx="3">
                  <c:v>253.15</c:v>
                </c:pt>
                <c:pt idx="4">
                  <c:v>236.66</c:v>
                </c:pt>
              </c:numCache>
            </c:numRef>
          </c:val>
          <c:smooth val="0"/>
        </c:ser>
        <c:ser>
          <c:idx val="1"/>
          <c:order val="1"/>
          <c:tx>
            <c:strRef>
              <c:f>脑卒中!$D$52</c:f>
              <c:strCache>
                <c:ptCount val="1"/>
                <c:pt idx="0">
                  <c:v>脑出血</c:v>
                </c:pt>
              </c:strCache>
            </c:strRef>
          </c:tx>
          <c:marker>
            <c:symbol val="none"/>
          </c:marker>
          <c:dLbls>
            <c:delete val="1"/>
          </c:dLbls>
          <c:cat>
            <c:numRef>
              <c:f>脑卒中!$B$53:$B$57</c:f>
              <c:numCache>
                <c:formatCode>General</c:formatCode>
                <c:ptCount val="5"/>
                <c:pt idx="0">
                  <c:v>2015</c:v>
                </c:pt>
                <c:pt idx="1">
                  <c:v>2016</c:v>
                </c:pt>
                <c:pt idx="2">
                  <c:v>2017</c:v>
                </c:pt>
                <c:pt idx="3">
                  <c:v>2018</c:v>
                </c:pt>
                <c:pt idx="4">
                  <c:v>2019</c:v>
                </c:pt>
              </c:numCache>
            </c:numRef>
          </c:cat>
          <c:val>
            <c:numRef>
              <c:f>脑卒中!$D$53:$D$57</c:f>
              <c:numCache>
                <c:formatCode>General</c:formatCode>
                <c:ptCount val="5"/>
                <c:pt idx="0">
                  <c:v>65.83</c:v>
                </c:pt>
                <c:pt idx="1">
                  <c:v>75.54</c:v>
                </c:pt>
                <c:pt idx="2">
                  <c:v>67.68</c:v>
                </c:pt>
                <c:pt idx="3">
                  <c:v>58.43</c:v>
                </c:pt>
                <c:pt idx="4">
                  <c:v>40.85</c:v>
                </c:pt>
              </c:numCache>
            </c:numRef>
          </c:val>
          <c:smooth val="0"/>
        </c:ser>
        <c:ser>
          <c:idx val="2"/>
          <c:order val="2"/>
          <c:tx>
            <c:strRef>
              <c:f>脑卒中!$E$52</c:f>
              <c:strCache>
                <c:ptCount val="1"/>
                <c:pt idx="0">
                  <c:v>脑卒中合计</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脑卒中!$B$53:$B$57</c:f>
              <c:numCache>
                <c:formatCode>General</c:formatCode>
                <c:ptCount val="5"/>
                <c:pt idx="0">
                  <c:v>2015</c:v>
                </c:pt>
                <c:pt idx="1">
                  <c:v>2016</c:v>
                </c:pt>
                <c:pt idx="2">
                  <c:v>2017</c:v>
                </c:pt>
                <c:pt idx="3">
                  <c:v>2018</c:v>
                </c:pt>
                <c:pt idx="4">
                  <c:v>2019</c:v>
                </c:pt>
              </c:numCache>
            </c:numRef>
          </c:cat>
          <c:val>
            <c:numRef>
              <c:f>脑卒中!$E$53:$E$57</c:f>
              <c:numCache>
                <c:formatCode>General</c:formatCode>
                <c:ptCount val="5"/>
                <c:pt idx="0">
                  <c:v>366.82</c:v>
                </c:pt>
                <c:pt idx="1">
                  <c:v>386.429999999999</c:v>
                </c:pt>
                <c:pt idx="2">
                  <c:v>399.489999999999</c:v>
                </c:pt>
                <c:pt idx="3">
                  <c:v>357.28</c:v>
                </c:pt>
                <c:pt idx="4">
                  <c:v>315.74</c:v>
                </c:pt>
              </c:numCache>
            </c:numRef>
          </c:val>
          <c:smooth val="0"/>
        </c:ser>
        <c:dLbls>
          <c:showLegendKey val="0"/>
          <c:showVal val="0"/>
          <c:showCatName val="0"/>
          <c:showSerName val="0"/>
          <c:showPercent val="0"/>
          <c:showBubbleSize val="0"/>
        </c:dLbls>
        <c:marker val="0"/>
        <c:smooth val="0"/>
        <c:axId val="35582720"/>
        <c:axId val="35584640"/>
      </c:lineChart>
      <c:catAx>
        <c:axId val="35582720"/>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年份</a:t>
                </a:r>
                <a:endParaRPr lang="en-US" altLang="zh-CN"/>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584640"/>
        <c:crosses val="autoZero"/>
        <c:auto val="1"/>
        <c:lblAlgn val="ctr"/>
        <c:lblOffset val="100"/>
        <c:noMultiLvlLbl val="0"/>
      </c:catAx>
      <c:valAx>
        <c:axId val="35584640"/>
        <c:scaling>
          <c:orientation val="minMax"/>
        </c:scaling>
        <c:delete val="0"/>
        <c:axPos val="l"/>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发病率（</a:t>
                </a:r>
                <a:r>
                  <a:rPr lang="en-US" altLang="zh-CN"/>
                  <a:t>/10</a:t>
                </a:r>
                <a:r>
                  <a:rPr lang="zh-CN" altLang="en-US"/>
                  <a:t>万）</a:t>
                </a:r>
                <a:endParaRPr lang="zh-CN" altLang="en-US"/>
              </a:p>
            </c:rich>
          </c:tx>
          <c:layout>
            <c:manualLayout>
              <c:xMode val="edge"/>
              <c:yMode val="edge"/>
              <c:x val="0.0305555555555556"/>
              <c:y val="0.301149752114319"/>
            </c:manualLayout>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5827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noFill/>
      <a:prstDash val="solid"/>
      <a:round/>
    </a:ln>
  </c:spPr>
  <c:txPr>
    <a:bodyPr/>
    <a:lstStyle/>
    <a:p>
      <a:pPr>
        <a:defRPr lang="zh-CN"/>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脑卒中!$N$77</c:f>
              <c:strCache>
                <c:ptCount val="1"/>
                <c:pt idx="0">
                  <c:v>男</c:v>
                </c:pt>
              </c:strCache>
            </c:strRef>
          </c:tx>
          <c:marker>
            <c:symbol val="none"/>
          </c:marker>
          <c:dLbls>
            <c:delete val="1"/>
          </c:dLbls>
          <c:cat>
            <c:strRef>
              <c:f>脑卒中!$M$78:$M$86</c:f>
              <c:strCache>
                <c:ptCount val="9"/>
                <c:pt idx="0">
                  <c:v>0～</c:v>
                </c:pt>
                <c:pt idx="1">
                  <c:v>10～</c:v>
                </c:pt>
                <c:pt idx="2">
                  <c:v>20～</c:v>
                </c:pt>
                <c:pt idx="3">
                  <c:v>30～</c:v>
                </c:pt>
                <c:pt idx="4">
                  <c:v>40～</c:v>
                </c:pt>
                <c:pt idx="5">
                  <c:v>50～</c:v>
                </c:pt>
                <c:pt idx="6">
                  <c:v>60～</c:v>
                </c:pt>
                <c:pt idx="7">
                  <c:v>70～</c:v>
                </c:pt>
                <c:pt idx="8">
                  <c:v>80～</c:v>
                </c:pt>
              </c:strCache>
            </c:strRef>
          </c:cat>
          <c:val>
            <c:numRef>
              <c:f>脑卒中!$N$78:$N$86</c:f>
              <c:numCache>
                <c:formatCode>0.00_ </c:formatCode>
                <c:ptCount val="9"/>
                <c:pt idx="0">
                  <c:v>1.53</c:v>
                </c:pt>
                <c:pt idx="1">
                  <c:v>2.58</c:v>
                </c:pt>
                <c:pt idx="2">
                  <c:v>9.774</c:v>
                </c:pt>
                <c:pt idx="3">
                  <c:v>34.86</c:v>
                </c:pt>
                <c:pt idx="4">
                  <c:v>140.832</c:v>
                </c:pt>
                <c:pt idx="5">
                  <c:v>394.977999999999</c:v>
                </c:pt>
                <c:pt idx="6">
                  <c:v>978.821999999997</c:v>
                </c:pt>
                <c:pt idx="7">
                  <c:v>2154.29</c:v>
                </c:pt>
                <c:pt idx="8">
                  <c:v>3755.388</c:v>
                </c:pt>
              </c:numCache>
            </c:numRef>
          </c:val>
          <c:smooth val="0"/>
        </c:ser>
        <c:ser>
          <c:idx val="1"/>
          <c:order val="1"/>
          <c:tx>
            <c:strRef>
              <c:f>脑卒中!$O$77</c:f>
              <c:strCache>
                <c:ptCount val="1"/>
                <c:pt idx="0">
                  <c:v>女</c:v>
                </c:pt>
              </c:strCache>
            </c:strRef>
          </c:tx>
          <c:marker>
            <c:symbol val="none"/>
          </c:marker>
          <c:dLbls>
            <c:delete val="1"/>
          </c:dLbls>
          <c:cat>
            <c:strRef>
              <c:f>脑卒中!$M$78:$M$86</c:f>
              <c:strCache>
                <c:ptCount val="9"/>
                <c:pt idx="0">
                  <c:v>0～</c:v>
                </c:pt>
                <c:pt idx="1">
                  <c:v>10～</c:v>
                </c:pt>
                <c:pt idx="2">
                  <c:v>20～</c:v>
                </c:pt>
                <c:pt idx="3">
                  <c:v>30～</c:v>
                </c:pt>
                <c:pt idx="4">
                  <c:v>40～</c:v>
                </c:pt>
                <c:pt idx="5">
                  <c:v>50～</c:v>
                </c:pt>
                <c:pt idx="6">
                  <c:v>60～</c:v>
                </c:pt>
                <c:pt idx="7">
                  <c:v>70～</c:v>
                </c:pt>
                <c:pt idx="8">
                  <c:v>80～</c:v>
                </c:pt>
              </c:strCache>
            </c:strRef>
          </c:cat>
          <c:val>
            <c:numRef>
              <c:f>脑卒中!$O$78:$O$86</c:f>
              <c:numCache>
                <c:formatCode>0.00_ </c:formatCode>
                <c:ptCount val="9"/>
                <c:pt idx="0">
                  <c:v>0.78</c:v>
                </c:pt>
                <c:pt idx="1">
                  <c:v>2.49</c:v>
                </c:pt>
                <c:pt idx="2">
                  <c:v>4.036</c:v>
                </c:pt>
                <c:pt idx="3">
                  <c:v>12.53</c:v>
                </c:pt>
                <c:pt idx="4">
                  <c:v>55.676</c:v>
                </c:pt>
                <c:pt idx="5">
                  <c:v>221.426</c:v>
                </c:pt>
                <c:pt idx="6">
                  <c:v>750.969999999998</c:v>
                </c:pt>
                <c:pt idx="7">
                  <c:v>1890.626</c:v>
                </c:pt>
                <c:pt idx="8">
                  <c:v>3028.006</c:v>
                </c:pt>
              </c:numCache>
            </c:numRef>
          </c:val>
          <c:smooth val="0"/>
        </c:ser>
        <c:ser>
          <c:idx val="2"/>
          <c:order val="2"/>
          <c:tx>
            <c:strRef>
              <c:f>脑卒中!$P$77</c:f>
              <c:strCache>
                <c:ptCount val="1"/>
                <c:pt idx="0">
                  <c:v>合计</c:v>
                </c:pt>
              </c:strCache>
            </c:strRef>
          </c:tx>
          <c:marker>
            <c:symbol val="none"/>
          </c:marker>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脑卒中!$M$78:$M$86</c:f>
              <c:strCache>
                <c:ptCount val="9"/>
                <c:pt idx="0">
                  <c:v>0～</c:v>
                </c:pt>
                <c:pt idx="1">
                  <c:v>10～</c:v>
                </c:pt>
                <c:pt idx="2">
                  <c:v>20～</c:v>
                </c:pt>
                <c:pt idx="3">
                  <c:v>30～</c:v>
                </c:pt>
                <c:pt idx="4">
                  <c:v>40～</c:v>
                </c:pt>
                <c:pt idx="5">
                  <c:v>50～</c:v>
                </c:pt>
                <c:pt idx="6">
                  <c:v>60～</c:v>
                </c:pt>
                <c:pt idx="7">
                  <c:v>70～</c:v>
                </c:pt>
                <c:pt idx="8">
                  <c:v>80～</c:v>
                </c:pt>
              </c:strCache>
            </c:strRef>
          </c:cat>
          <c:val>
            <c:numRef>
              <c:f>脑卒中!$P$78:$P$86</c:f>
              <c:numCache>
                <c:formatCode>0.00_ </c:formatCode>
                <c:ptCount val="9"/>
                <c:pt idx="0">
                  <c:v>1.19</c:v>
                </c:pt>
                <c:pt idx="1">
                  <c:v>2.538</c:v>
                </c:pt>
                <c:pt idx="2">
                  <c:v>6.85799999999998</c:v>
                </c:pt>
                <c:pt idx="3">
                  <c:v>23.472</c:v>
                </c:pt>
                <c:pt idx="4">
                  <c:v>97.588</c:v>
                </c:pt>
                <c:pt idx="5">
                  <c:v>308.76</c:v>
                </c:pt>
                <c:pt idx="6">
                  <c:v>871.487999999998</c:v>
                </c:pt>
                <c:pt idx="7">
                  <c:v>2042.49</c:v>
                </c:pt>
                <c:pt idx="8">
                  <c:v>3386.572</c:v>
                </c:pt>
              </c:numCache>
            </c:numRef>
          </c:val>
          <c:smooth val="0"/>
        </c:ser>
        <c:dLbls>
          <c:showLegendKey val="0"/>
          <c:showVal val="0"/>
          <c:showCatName val="0"/>
          <c:showSerName val="0"/>
          <c:showPercent val="0"/>
          <c:showBubbleSize val="0"/>
        </c:dLbls>
        <c:marker val="0"/>
        <c:smooth val="0"/>
        <c:axId val="84922752"/>
        <c:axId val="84924672"/>
      </c:lineChart>
      <c:catAx>
        <c:axId val="84922752"/>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年龄组</a:t>
                </a:r>
                <a:endParaRPr lang="zh-CN" altLang="en-US"/>
              </a:p>
            </c:rich>
          </c:tx>
          <c:layout/>
          <c:overlay val="0"/>
        </c:title>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924672"/>
        <c:crosses val="autoZero"/>
        <c:auto val="1"/>
        <c:lblAlgn val="ctr"/>
        <c:lblOffset val="100"/>
        <c:noMultiLvlLbl val="0"/>
      </c:catAx>
      <c:valAx>
        <c:axId val="84924672"/>
        <c:scaling>
          <c:orientation val="minMax"/>
        </c:scaling>
        <c:delete val="0"/>
        <c:axPos val="l"/>
        <c:title>
          <c:tx>
            <c:rich>
              <a:bodyPr rot="0" spcFirstLastPara="0" vertOverflow="ellipsis" vert="wordArtVertRtl" wrap="square" anchor="ctr" anchorCtr="1"/>
              <a:lstStyle/>
              <a:p>
                <a:pPr marL="0" marR="0" indent="0" algn="ctr" defTabSz="914400" rtl="0" eaLnBrk="1" fontAlgn="auto" latinLnBrk="0" hangingPunct="1">
                  <a:lnSpc>
                    <a:spcPct val="100000"/>
                  </a:lnSpc>
                  <a:spcBef>
                    <a:spcPts val="0"/>
                  </a:spcBef>
                  <a:spcAft>
                    <a:spcPts val="0"/>
                  </a:spcAft>
                  <a:buClrTx/>
                  <a:buSzTx/>
                  <a:buFontTx/>
                  <a:buNone/>
                  <a:defRPr lang="zh-CN" altLang="en-US" sz="1000" b="1" i="0" u="none" strike="noStrike" kern="1200" baseline="0">
                    <a:solidFill>
                      <a:sysClr val="windowText" lastClr="000000"/>
                    </a:solidFill>
                    <a:latin typeface="+mn-lt"/>
                    <a:ea typeface="+mn-ea"/>
                    <a:cs typeface="+mn-cs"/>
                  </a:defRPr>
                </a:pPr>
                <a:r>
                  <a:rPr lang="zh-CN" altLang="en-US" sz="1000" b="1" i="0" u="none" strike="noStrike" kern="1200" baseline="0">
                    <a:solidFill>
                      <a:sysClr val="windowText" lastClr="000000"/>
                    </a:solidFill>
                    <a:latin typeface="+mn-lt"/>
                    <a:ea typeface="+mn-ea"/>
                    <a:cs typeface="+mn-cs"/>
                  </a:rPr>
                  <a:t>发病率（/10万）</a:t>
                </a:r>
                <a:endParaRPr lang="zh-CN" altLang="en-US" sz="1000" b="1" i="0" u="none" strike="noStrike" kern="1200" baseline="0">
                  <a:solidFill>
                    <a:sysClr val="windowText" lastClr="000000"/>
                  </a:solidFill>
                  <a:latin typeface="+mn-lt"/>
                  <a:ea typeface="+mn-ea"/>
                  <a:cs typeface="+mn-cs"/>
                </a:endParaRPr>
              </a:p>
            </c:rich>
          </c:tx>
          <c:layout/>
          <c:overlay val="0"/>
        </c:title>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492275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主要种类!$A$116</c:f>
              <c:strCache>
                <c:ptCount val="1"/>
                <c:pt idx="0">
                  <c:v>肺癌</c:v>
                </c:pt>
              </c:strCache>
            </c:strRef>
          </c:tx>
          <c:marker>
            <c:symbol val="none"/>
          </c:marker>
          <c:dLbls>
            <c:delete val="1"/>
          </c:dLbls>
          <c:cat>
            <c:numRef>
              <c:f>主要种类!$B$115:$F$115</c:f>
              <c:numCache>
                <c:formatCode>General</c:formatCode>
                <c:ptCount val="5"/>
                <c:pt idx="0">
                  <c:v>2015</c:v>
                </c:pt>
                <c:pt idx="1">
                  <c:v>2016</c:v>
                </c:pt>
                <c:pt idx="2">
                  <c:v>2017</c:v>
                </c:pt>
                <c:pt idx="3">
                  <c:v>2018</c:v>
                </c:pt>
                <c:pt idx="4">
                  <c:v>2019</c:v>
                </c:pt>
              </c:numCache>
            </c:numRef>
          </c:cat>
          <c:val>
            <c:numRef>
              <c:f>主要种类!$B$116:$F$116</c:f>
              <c:numCache>
                <c:formatCode>0.00_);[Red]\(0.00\)</c:formatCode>
                <c:ptCount val="5"/>
                <c:pt idx="0">
                  <c:v>34.68</c:v>
                </c:pt>
                <c:pt idx="1">
                  <c:v>40.472436828295</c:v>
                </c:pt>
                <c:pt idx="2">
                  <c:v>45.4810842907068</c:v>
                </c:pt>
                <c:pt idx="3">
                  <c:v>53.83</c:v>
                </c:pt>
                <c:pt idx="4">
                  <c:v>45.39</c:v>
                </c:pt>
              </c:numCache>
            </c:numRef>
          </c:val>
          <c:smooth val="0"/>
        </c:ser>
        <c:ser>
          <c:idx val="1"/>
          <c:order val="1"/>
          <c:tx>
            <c:strRef>
              <c:f>主要种类!$A$117</c:f>
              <c:strCache>
                <c:ptCount val="1"/>
                <c:pt idx="0">
                  <c:v>胃癌</c:v>
                </c:pt>
              </c:strCache>
            </c:strRef>
          </c:tx>
          <c:marker>
            <c:symbol val="none"/>
          </c:marker>
          <c:dLbls>
            <c:delete val="1"/>
          </c:dLbls>
          <c:cat>
            <c:numRef>
              <c:f>主要种类!$B$115:$F$115</c:f>
              <c:numCache>
                <c:formatCode>General</c:formatCode>
                <c:ptCount val="5"/>
                <c:pt idx="0">
                  <c:v>2015</c:v>
                </c:pt>
                <c:pt idx="1">
                  <c:v>2016</c:v>
                </c:pt>
                <c:pt idx="2">
                  <c:v>2017</c:v>
                </c:pt>
                <c:pt idx="3">
                  <c:v>2018</c:v>
                </c:pt>
                <c:pt idx="4">
                  <c:v>2019</c:v>
                </c:pt>
              </c:numCache>
            </c:numRef>
          </c:cat>
          <c:val>
            <c:numRef>
              <c:f>主要种类!$B$117:$F$117</c:f>
              <c:numCache>
                <c:formatCode>0.00_);[Red]\(0.00\)</c:formatCode>
                <c:ptCount val="5"/>
                <c:pt idx="0">
                  <c:v>34.68</c:v>
                </c:pt>
                <c:pt idx="1">
                  <c:v>34.8838152618043</c:v>
                </c:pt>
                <c:pt idx="2">
                  <c:v>35.7351376569844</c:v>
                </c:pt>
                <c:pt idx="3">
                  <c:v>34.68</c:v>
                </c:pt>
                <c:pt idx="4">
                  <c:v>24.29</c:v>
                </c:pt>
              </c:numCache>
            </c:numRef>
          </c:val>
          <c:smooth val="0"/>
        </c:ser>
        <c:ser>
          <c:idx val="2"/>
          <c:order val="2"/>
          <c:tx>
            <c:strRef>
              <c:f>主要种类!$A$118</c:f>
              <c:strCache>
                <c:ptCount val="1"/>
                <c:pt idx="0">
                  <c:v>肠癌</c:v>
                </c:pt>
              </c:strCache>
            </c:strRef>
          </c:tx>
          <c:marker>
            <c:symbol val="none"/>
          </c:marker>
          <c:dLbls>
            <c:delete val="1"/>
          </c:dLbls>
          <c:cat>
            <c:numRef>
              <c:f>主要种类!$B$115:$F$115</c:f>
              <c:numCache>
                <c:formatCode>General</c:formatCode>
                <c:ptCount val="5"/>
                <c:pt idx="0">
                  <c:v>2015</c:v>
                </c:pt>
                <c:pt idx="1">
                  <c:v>2016</c:v>
                </c:pt>
                <c:pt idx="2">
                  <c:v>2017</c:v>
                </c:pt>
                <c:pt idx="3">
                  <c:v>2018</c:v>
                </c:pt>
                <c:pt idx="4">
                  <c:v>2019</c:v>
                </c:pt>
              </c:numCache>
            </c:numRef>
          </c:cat>
          <c:val>
            <c:numRef>
              <c:f>主要种类!$B$118:$F$118</c:f>
              <c:numCache>
                <c:formatCode>0.00_);[Red]\(0.00\)</c:formatCode>
                <c:ptCount val="5"/>
                <c:pt idx="0">
                  <c:v>29.62</c:v>
                </c:pt>
                <c:pt idx="1">
                  <c:v>32.7204778812273</c:v>
                </c:pt>
                <c:pt idx="2">
                  <c:v>32.3060082858594</c:v>
                </c:pt>
                <c:pt idx="3">
                  <c:v>34.32</c:v>
                </c:pt>
                <c:pt idx="4">
                  <c:v>29.62</c:v>
                </c:pt>
              </c:numCache>
            </c:numRef>
          </c:val>
          <c:smooth val="0"/>
        </c:ser>
        <c:ser>
          <c:idx val="3"/>
          <c:order val="3"/>
          <c:tx>
            <c:strRef>
              <c:f>主要种类!$A$119</c:f>
              <c:strCache>
                <c:ptCount val="1"/>
                <c:pt idx="0">
                  <c:v>肝癌</c:v>
                </c:pt>
              </c:strCache>
            </c:strRef>
          </c:tx>
          <c:marker>
            <c:symbol val="none"/>
          </c:marker>
          <c:dLbls>
            <c:delete val="1"/>
          </c:dLbls>
          <c:cat>
            <c:numRef>
              <c:f>主要种类!$B$115:$F$115</c:f>
              <c:numCache>
                <c:formatCode>General</c:formatCode>
                <c:ptCount val="5"/>
                <c:pt idx="0">
                  <c:v>2015</c:v>
                </c:pt>
                <c:pt idx="1">
                  <c:v>2016</c:v>
                </c:pt>
                <c:pt idx="2">
                  <c:v>2017</c:v>
                </c:pt>
                <c:pt idx="3">
                  <c:v>2018</c:v>
                </c:pt>
                <c:pt idx="4">
                  <c:v>2019</c:v>
                </c:pt>
              </c:numCache>
            </c:numRef>
          </c:cat>
          <c:val>
            <c:numRef>
              <c:f>主要种类!$B$119:$F$119</c:f>
              <c:numCache>
                <c:formatCode>0.00_);[Red]\(0.00\)</c:formatCode>
                <c:ptCount val="5"/>
                <c:pt idx="0">
                  <c:v>25.29</c:v>
                </c:pt>
                <c:pt idx="1">
                  <c:v>30.2867233280782</c:v>
                </c:pt>
                <c:pt idx="2">
                  <c:v>31.5840863129911</c:v>
                </c:pt>
                <c:pt idx="3">
                  <c:v>32.87</c:v>
                </c:pt>
                <c:pt idx="4">
                  <c:v>22.69</c:v>
                </c:pt>
              </c:numCache>
            </c:numRef>
          </c:val>
          <c:smooth val="0"/>
        </c:ser>
        <c:ser>
          <c:idx val="4"/>
          <c:order val="4"/>
          <c:tx>
            <c:strRef>
              <c:f>主要种类!$A$120</c:f>
              <c:strCache>
                <c:ptCount val="1"/>
                <c:pt idx="0">
                  <c:v>乳腺癌</c:v>
                </c:pt>
              </c:strCache>
            </c:strRef>
          </c:tx>
          <c:marker>
            <c:symbol val="none"/>
          </c:marker>
          <c:dLbls>
            <c:delete val="1"/>
          </c:dLbls>
          <c:cat>
            <c:numRef>
              <c:f>主要种类!$B$115:$F$115</c:f>
              <c:numCache>
                <c:formatCode>General</c:formatCode>
                <c:ptCount val="5"/>
                <c:pt idx="0">
                  <c:v>2015</c:v>
                </c:pt>
                <c:pt idx="1">
                  <c:v>2016</c:v>
                </c:pt>
                <c:pt idx="2">
                  <c:v>2017</c:v>
                </c:pt>
                <c:pt idx="3">
                  <c:v>2018</c:v>
                </c:pt>
                <c:pt idx="4">
                  <c:v>2019</c:v>
                </c:pt>
              </c:numCache>
            </c:numRef>
          </c:cat>
          <c:val>
            <c:numRef>
              <c:f>主要种类!$B$120:$F$120</c:f>
              <c:numCache>
                <c:formatCode>0.00_);[Red]\(0.00\)</c:formatCode>
                <c:ptCount val="5"/>
                <c:pt idx="0">
                  <c:v>20.32</c:v>
                </c:pt>
                <c:pt idx="1">
                  <c:v>19.9207317128133</c:v>
                </c:pt>
                <c:pt idx="2">
                  <c:v>25.5379897902187</c:v>
                </c:pt>
                <c:pt idx="3">
                  <c:v>30.07</c:v>
                </c:pt>
                <c:pt idx="4">
                  <c:v>21.42</c:v>
                </c:pt>
              </c:numCache>
            </c:numRef>
          </c:val>
          <c:smooth val="0"/>
        </c:ser>
        <c:dLbls>
          <c:showLegendKey val="0"/>
          <c:showVal val="0"/>
          <c:showCatName val="0"/>
          <c:showSerName val="0"/>
          <c:showPercent val="0"/>
          <c:showBubbleSize val="0"/>
        </c:dLbls>
        <c:marker val="0"/>
        <c:smooth val="0"/>
        <c:axId val="85030400"/>
        <c:axId val="85031936"/>
      </c:lineChart>
      <c:catAx>
        <c:axId val="85030400"/>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5031936"/>
        <c:crosses val="autoZero"/>
        <c:auto val="1"/>
        <c:lblAlgn val="ctr"/>
        <c:lblOffset val="100"/>
        <c:noMultiLvlLbl val="0"/>
      </c:catAx>
      <c:valAx>
        <c:axId val="85031936"/>
        <c:scaling>
          <c:orientation val="minMax"/>
        </c:scaling>
        <c:delete val="0"/>
        <c:axPos val="l"/>
        <c:majorGridlines/>
        <c:numFmt formatCode="0.00_);[Red]\(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503040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lineChart>
        <c:grouping val="standard"/>
        <c:varyColors val="0"/>
        <c:ser>
          <c:idx val="0"/>
          <c:order val="0"/>
          <c:tx>
            <c:strRef>
              <c:f>主要种类!$L$131</c:f>
              <c:strCache>
                <c:ptCount val="1"/>
                <c:pt idx="0">
                  <c:v>肺癌</c:v>
                </c:pt>
              </c:strCache>
            </c:strRef>
          </c:tx>
          <c:dLbls>
            <c:delete val="1"/>
          </c:dLbls>
          <c:cat>
            <c:strRef>
              <c:f>主要种类!$M$130:$U$130</c:f>
              <c:strCache>
                <c:ptCount val="9"/>
                <c:pt idx="0">
                  <c:v>0～</c:v>
                </c:pt>
                <c:pt idx="1">
                  <c:v>10～</c:v>
                </c:pt>
                <c:pt idx="2">
                  <c:v>20～</c:v>
                </c:pt>
                <c:pt idx="3">
                  <c:v>30～</c:v>
                </c:pt>
                <c:pt idx="4">
                  <c:v>40～</c:v>
                </c:pt>
                <c:pt idx="5">
                  <c:v>50～</c:v>
                </c:pt>
                <c:pt idx="6">
                  <c:v>60～</c:v>
                </c:pt>
                <c:pt idx="7">
                  <c:v>70～</c:v>
                </c:pt>
                <c:pt idx="8">
                  <c:v>80～</c:v>
                </c:pt>
              </c:strCache>
            </c:strRef>
          </c:cat>
          <c:val>
            <c:numRef>
              <c:f>主要种类!$M$131:$U$131</c:f>
              <c:numCache>
                <c:formatCode>0.00_ </c:formatCode>
                <c:ptCount val="9"/>
                <c:pt idx="0">
                  <c:v>0</c:v>
                </c:pt>
                <c:pt idx="1">
                  <c:v>0.165270953464658</c:v>
                </c:pt>
                <c:pt idx="2">
                  <c:v>1.44612846103732</c:v>
                </c:pt>
                <c:pt idx="3">
                  <c:v>4.40493143666259</c:v>
                </c:pt>
                <c:pt idx="4">
                  <c:v>15.2241684171143</c:v>
                </c:pt>
                <c:pt idx="5">
                  <c:v>55.8637572020007</c:v>
                </c:pt>
                <c:pt idx="6">
                  <c:v>138.155811358291</c:v>
                </c:pt>
                <c:pt idx="7">
                  <c:v>222.694535034805</c:v>
                </c:pt>
                <c:pt idx="8">
                  <c:v>188.817660951579</c:v>
                </c:pt>
              </c:numCache>
            </c:numRef>
          </c:val>
          <c:smooth val="0"/>
        </c:ser>
        <c:ser>
          <c:idx val="1"/>
          <c:order val="1"/>
          <c:tx>
            <c:strRef>
              <c:f>主要种类!$L$132</c:f>
              <c:strCache>
                <c:ptCount val="1"/>
                <c:pt idx="0">
                  <c:v>胃癌</c:v>
                </c:pt>
              </c:strCache>
            </c:strRef>
          </c:tx>
          <c:dLbls>
            <c:delete val="1"/>
          </c:dLbls>
          <c:cat>
            <c:strRef>
              <c:f>主要种类!$M$130:$U$130</c:f>
              <c:strCache>
                <c:ptCount val="9"/>
                <c:pt idx="0">
                  <c:v>0～</c:v>
                </c:pt>
                <c:pt idx="1">
                  <c:v>10～</c:v>
                </c:pt>
                <c:pt idx="2">
                  <c:v>20～</c:v>
                </c:pt>
                <c:pt idx="3">
                  <c:v>30～</c:v>
                </c:pt>
                <c:pt idx="4">
                  <c:v>40～</c:v>
                </c:pt>
                <c:pt idx="5">
                  <c:v>50～</c:v>
                </c:pt>
                <c:pt idx="6">
                  <c:v>60～</c:v>
                </c:pt>
                <c:pt idx="7">
                  <c:v>70～</c:v>
                </c:pt>
                <c:pt idx="8">
                  <c:v>80～</c:v>
                </c:pt>
              </c:strCache>
            </c:strRef>
          </c:cat>
          <c:val>
            <c:numRef>
              <c:f>主要种类!$M$132:$U$132</c:f>
              <c:numCache>
                <c:formatCode>0.00_ </c:formatCode>
                <c:ptCount val="9"/>
                <c:pt idx="0">
                  <c:v>0</c:v>
                </c:pt>
                <c:pt idx="1">
                  <c:v>0</c:v>
                </c:pt>
                <c:pt idx="2">
                  <c:v>1.59074130714105</c:v>
                </c:pt>
                <c:pt idx="3">
                  <c:v>4.63676993332905</c:v>
                </c:pt>
                <c:pt idx="4">
                  <c:v>9.25390629275578</c:v>
                </c:pt>
                <c:pt idx="5">
                  <c:v>36.3172251789401</c:v>
                </c:pt>
                <c:pt idx="6">
                  <c:v>86.9456318594318</c:v>
                </c:pt>
                <c:pt idx="7">
                  <c:v>182.079457547779</c:v>
                </c:pt>
                <c:pt idx="8">
                  <c:v>200.580072617416</c:v>
                </c:pt>
              </c:numCache>
            </c:numRef>
          </c:val>
          <c:smooth val="0"/>
        </c:ser>
        <c:ser>
          <c:idx val="2"/>
          <c:order val="2"/>
          <c:tx>
            <c:strRef>
              <c:f>主要种类!$L$133</c:f>
              <c:strCache>
                <c:ptCount val="1"/>
                <c:pt idx="0">
                  <c:v>肠癌</c:v>
                </c:pt>
              </c:strCache>
            </c:strRef>
          </c:tx>
          <c:dLbls>
            <c:delete val="1"/>
          </c:dLbls>
          <c:cat>
            <c:strRef>
              <c:f>主要种类!$M$130:$U$130</c:f>
              <c:strCache>
                <c:ptCount val="9"/>
                <c:pt idx="0">
                  <c:v>0～</c:v>
                </c:pt>
                <c:pt idx="1">
                  <c:v>10～</c:v>
                </c:pt>
                <c:pt idx="2">
                  <c:v>20～</c:v>
                </c:pt>
                <c:pt idx="3">
                  <c:v>30～</c:v>
                </c:pt>
                <c:pt idx="4">
                  <c:v>40～</c:v>
                </c:pt>
                <c:pt idx="5">
                  <c:v>50～</c:v>
                </c:pt>
                <c:pt idx="6">
                  <c:v>60～</c:v>
                </c:pt>
                <c:pt idx="7">
                  <c:v>70～</c:v>
                </c:pt>
                <c:pt idx="8">
                  <c:v>80～</c:v>
                </c:pt>
              </c:strCache>
            </c:strRef>
          </c:cat>
          <c:val>
            <c:numRef>
              <c:f>主要种类!$M$133:$U$133</c:f>
              <c:numCache>
                <c:formatCode>0.00_ </c:formatCode>
                <c:ptCount val="9"/>
                <c:pt idx="0">
                  <c:v>0</c:v>
                </c:pt>
                <c:pt idx="1">
                  <c:v>0.165270953464658</c:v>
                </c:pt>
                <c:pt idx="2">
                  <c:v>1.87996699934852</c:v>
                </c:pt>
                <c:pt idx="3">
                  <c:v>5.44820467166164</c:v>
                </c:pt>
                <c:pt idx="4">
                  <c:v>13.6320985172854</c:v>
                </c:pt>
                <c:pt idx="5">
                  <c:v>41.2906031493051</c:v>
                </c:pt>
                <c:pt idx="6">
                  <c:v>89.8172307098356</c:v>
                </c:pt>
                <c:pt idx="7">
                  <c:v>147.315704783457</c:v>
                </c:pt>
                <c:pt idx="8">
                  <c:v>157.863946041485</c:v>
                </c:pt>
              </c:numCache>
            </c:numRef>
          </c:val>
          <c:smooth val="0"/>
        </c:ser>
        <c:ser>
          <c:idx val="3"/>
          <c:order val="3"/>
          <c:tx>
            <c:strRef>
              <c:f>主要种类!$L$134</c:f>
              <c:strCache>
                <c:ptCount val="1"/>
                <c:pt idx="0">
                  <c:v>肝癌</c:v>
                </c:pt>
              </c:strCache>
            </c:strRef>
          </c:tx>
          <c:dLbls>
            <c:delete val="1"/>
          </c:dLbls>
          <c:cat>
            <c:strRef>
              <c:f>主要种类!$M$130:$U$130</c:f>
              <c:strCache>
                <c:ptCount val="9"/>
                <c:pt idx="0">
                  <c:v>0～</c:v>
                </c:pt>
                <c:pt idx="1">
                  <c:v>10～</c:v>
                </c:pt>
                <c:pt idx="2">
                  <c:v>20～</c:v>
                </c:pt>
                <c:pt idx="3">
                  <c:v>30～</c:v>
                </c:pt>
                <c:pt idx="4">
                  <c:v>40～</c:v>
                </c:pt>
                <c:pt idx="5">
                  <c:v>50～</c:v>
                </c:pt>
                <c:pt idx="6">
                  <c:v>60～</c:v>
                </c:pt>
                <c:pt idx="7">
                  <c:v>70～</c:v>
                </c:pt>
                <c:pt idx="8">
                  <c:v>80～</c:v>
                </c:pt>
              </c:strCache>
            </c:strRef>
          </c:cat>
          <c:val>
            <c:numRef>
              <c:f>主要种类!$M$134:$U$134</c:f>
              <c:numCache>
                <c:formatCode>0.00_ </c:formatCode>
                <c:ptCount val="9"/>
                <c:pt idx="0">
                  <c:v>0.172077056105724</c:v>
                </c:pt>
                <c:pt idx="1">
                  <c:v>0.165270953464658</c:v>
                </c:pt>
                <c:pt idx="2">
                  <c:v>2.169192691556</c:v>
                </c:pt>
                <c:pt idx="3">
                  <c:v>7.41883189332647</c:v>
                </c:pt>
                <c:pt idx="4">
                  <c:v>21.2939349102122</c:v>
                </c:pt>
                <c:pt idx="5">
                  <c:v>48.3458602700544</c:v>
                </c:pt>
                <c:pt idx="6">
                  <c:v>75.2997031883522</c:v>
                </c:pt>
                <c:pt idx="7">
                  <c:v>97.4073468544822</c:v>
                </c:pt>
                <c:pt idx="8">
                  <c:v>91.0039218356791</c:v>
                </c:pt>
              </c:numCache>
            </c:numRef>
          </c:val>
          <c:smooth val="0"/>
        </c:ser>
        <c:ser>
          <c:idx val="4"/>
          <c:order val="4"/>
          <c:tx>
            <c:strRef>
              <c:f>主要种类!$L$135</c:f>
              <c:strCache>
                <c:ptCount val="1"/>
                <c:pt idx="0">
                  <c:v>乳腺癌</c:v>
                </c:pt>
              </c:strCache>
            </c:strRef>
          </c:tx>
          <c:dLbls>
            <c:delete val="1"/>
          </c:dLbls>
          <c:cat>
            <c:strRef>
              <c:f>主要种类!$M$130:$U$130</c:f>
              <c:strCache>
                <c:ptCount val="9"/>
                <c:pt idx="0">
                  <c:v>0～</c:v>
                </c:pt>
                <c:pt idx="1">
                  <c:v>10～</c:v>
                </c:pt>
                <c:pt idx="2">
                  <c:v>20～</c:v>
                </c:pt>
                <c:pt idx="3">
                  <c:v>30～</c:v>
                </c:pt>
                <c:pt idx="4">
                  <c:v>40～</c:v>
                </c:pt>
                <c:pt idx="5">
                  <c:v>50～</c:v>
                </c:pt>
                <c:pt idx="6">
                  <c:v>60～</c:v>
                </c:pt>
                <c:pt idx="7">
                  <c:v>70～</c:v>
                </c:pt>
                <c:pt idx="8">
                  <c:v>80～</c:v>
                </c:pt>
              </c:strCache>
            </c:strRef>
          </c:cat>
          <c:val>
            <c:numRef>
              <c:f>主要种类!$M$135:$U$135</c:f>
              <c:numCache>
                <c:formatCode>0.00_ </c:formatCode>
                <c:ptCount val="9"/>
                <c:pt idx="0">
                  <c:v>0</c:v>
                </c:pt>
                <c:pt idx="1">
                  <c:v>0</c:v>
                </c:pt>
                <c:pt idx="2">
                  <c:v>1.87996699934852</c:v>
                </c:pt>
                <c:pt idx="3">
                  <c:v>14.9535830349863</c:v>
                </c:pt>
                <c:pt idx="4">
                  <c:v>43.2844004015994</c:v>
                </c:pt>
                <c:pt idx="5">
                  <c:v>49.9650996092425</c:v>
                </c:pt>
                <c:pt idx="6">
                  <c:v>33.6615198575049</c:v>
                </c:pt>
                <c:pt idx="7">
                  <c:v>28.5682324696892</c:v>
                </c:pt>
                <c:pt idx="8">
                  <c:v>17.3340803496532</c:v>
                </c:pt>
              </c:numCache>
            </c:numRef>
          </c:val>
          <c:smooth val="0"/>
        </c:ser>
        <c:dLbls>
          <c:showLegendKey val="0"/>
          <c:showVal val="0"/>
          <c:showCatName val="0"/>
          <c:showSerName val="0"/>
          <c:showPercent val="0"/>
          <c:showBubbleSize val="0"/>
        </c:dLbls>
        <c:marker val="1"/>
        <c:smooth val="0"/>
        <c:axId val="109843968"/>
        <c:axId val="109845504"/>
      </c:lineChart>
      <c:catAx>
        <c:axId val="10984396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9845504"/>
        <c:crosses val="autoZero"/>
        <c:auto val="1"/>
        <c:lblAlgn val="ctr"/>
        <c:lblOffset val="100"/>
        <c:noMultiLvlLbl val="0"/>
      </c:catAx>
      <c:valAx>
        <c:axId val="109845504"/>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984396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年龄!$B$69</c:f>
              <c:strCache>
                <c:ptCount val="1"/>
                <c:pt idx="0">
                  <c:v>男</c:v>
                </c:pt>
              </c:strCache>
            </c:strRef>
          </c:tx>
          <c:marker>
            <c:symbol val="none"/>
          </c:marker>
          <c:dLbls>
            <c:delete val="1"/>
          </c:dLbls>
          <c:cat>
            <c:strRef>
              <c:f>年龄!$C$68:$K$68</c:f>
              <c:strCache>
                <c:ptCount val="9"/>
                <c:pt idx="0">
                  <c:v>0～</c:v>
                </c:pt>
                <c:pt idx="1">
                  <c:v>10～</c:v>
                </c:pt>
                <c:pt idx="2">
                  <c:v>20～</c:v>
                </c:pt>
                <c:pt idx="3">
                  <c:v>30～</c:v>
                </c:pt>
                <c:pt idx="4">
                  <c:v>40～</c:v>
                </c:pt>
                <c:pt idx="5">
                  <c:v>50～</c:v>
                </c:pt>
                <c:pt idx="6">
                  <c:v>60～</c:v>
                </c:pt>
                <c:pt idx="7">
                  <c:v>70～</c:v>
                </c:pt>
                <c:pt idx="8">
                  <c:v>80～</c:v>
                </c:pt>
              </c:strCache>
            </c:strRef>
          </c:cat>
          <c:val>
            <c:numRef>
              <c:f>年龄!$C$69:$K$69</c:f>
              <c:numCache>
                <c:formatCode>General</c:formatCode>
                <c:ptCount val="9"/>
                <c:pt idx="0">
                  <c:v>8.924</c:v>
                </c:pt>
                <c:pt idx="1">
                  <c:v>8.168</c:v>
                </c:pt>
                <c:pt idx="2">
                  <c:v>32.066</c:v>
                </c:pt>
                <c:pt idx="3">
                  <c:v>73.304</c:v>
                </c:pt>
                <c:pt idx="4">
                  <c:v>175.254</c:v>
                </c:pt>
                <c:pt idx="5">
                  <c:v>442.686</c:v>
                </c:pt>
                <c:pt idx="6">
                  <c:v>884.2</c:v>
                </c:pt>
                <c:pt idx="7">
                  <c:v>1365.388</c:v>
                </c:pt>
                <c:pt idx="8">
                  <c:v>1438.998</c:v>
                </c:pt>
              </c:numCache>
            </c:numRef>
          </c:val>
          <c:smooth val="0"/>
        </c:ser>
        <c:ser>
          <c:idx val="1"/>
          <c:order val="1"/>
          <c:tx>
            <c:strRef>
              <c:f>年龄!$B$70</c:f>
              <c:strCache>
                <c:ptCount val="1"/>
                <c:pt idx="0">
                  <c:v>女</c:v>
                </c:pt>
              </c:strCache>
            </c:strRef>
          </c:tx>
          <c:marker>
            <c:symbol val="none"/>
          </c:marker>
          <c:dLbls>
            <c:delete val="1"/>
          </c:dLbls>
          <c:cat>
            <c:strRef>
              <c:f>年龄!$C$68:$K$68</c:f>
              <c:strCache>
                <c:ptCount val="9"/>
                <c:pt idx="0">
                  <c:v>0～</c:v>
                </c:pt>
                <c:pt idx="1">
                  <c:v>10～</c:v>
                </c:pt>
                <c:pt idx="2">
                  <c:v>20～</c:v>
                </c:pt>
                <c:pt idx="3">
                  <c:v>30～</c:v>
                </c:pt>
                <c:pt idx="4">
                  <c:v>40～</c:v>
                </c:pt>
                <c:pt idx="5">
                  <c:v>50～</c:v>
                </c:pt>
                <c:pt idx="6">
                  <c:v>60～</c:v>
                </c:pt>
                <c:pt idx="7">
                  <c:v>70～</c:v>
                </c:pt>
                <c:pt idx="8">
                  <c:v>80～</c:v>
                </c:pt>
              </c:strCache>
            </c:strRef>
          </c:cat>
          <c:val>
            <c:numRef>
              <c:f>年龄!$C$70:$K$70</c:f>
              <c:numCache>
                <c:formatCode>General</c:formatCode>
                <c:ptCount val="9"/>
                <c:pt idx="0">
                  <c:v>4.83</c:v>
                </c:pt>
                <c:pt idx="1">
                  <c:v>6.662</c:v>
                </c:pt>
                <c:pt idx="2">
                  <c:v>50.654</c:v>
                </c:pt>
                <c:pt idx="3">
                  <c:v>117.706</c:v>
                </c:pt>
                <c:pt idx="4">
                  <c:v>251.022</c:v>
                </c:pt>
                <c:pt idx="5">
                  <c:v>446.69</c:v>
                </c:pt>
                <c:pt idx="6">
                  <c:v>658.790000000002</c:v>
                </c:pt>
                <c:pt idx="7">
                  <c:v>1027.382</c:v>
                </c:pt>
                <c:pt idx="8">
                  <c:v>1012.426</c:v>
                </c:pt>
              </c:numCache>
            </c:numRef>
          </c:val>
          <c:smooth val="0"/>
        </c:ser>
        <c:ser>
          <c:idx val="2"/>
          <c:order val="2"/>
          <c:tx>
            <c:strRef>
              <c:f>年龄!$B$71</c:f>
              <c:strCache>
                <c:ptCount val="1"/>
                <c:pt idx="0">
                  <c:v>总</c:v>
                </c:pt>
              </c:strCache>
            </c:strRef>
          </c:tx>
          <c:marker>
            <c:symbol val="none"/>
          </c:marker>
          <c:dLbls>
            <c:delete val="1"/>
          </c:dLbls>
          <c:cat>
            <c:strRef>
              <c:f>年龄!$C$68:$K$68</c:f>
              <c:strCache>
                <c:ptCount val="9"/>
                <c:pt idx="0">
                  <c:v>0～</c:v>
                </c:pt>
                <c:pt idx="1">
                  <c:v>10～</c:v>
                </c:pt>
                <c:pt idx="2">
                  <c:v>20～</c:v>
                </c:pt>
                <c:pt idx="3">
                  <c:v>30～</c:v>
                </c:pt>
                <c:pt idx="4">
                  <c:v>40～</c:v>
                </c:pt>
                <c:pt idx="5">
                  <c:v>50～</c:v>
                </c:pt>
                <c:pt idx="6">
                  <c:v>60～</c:v>
                </c:pt>
                <c:pt idx="7">
                  <c:v>70～</c:v>
                </c:pt>
                <c:pt idx="8">
                  <c:v>80～</c:v>
                </c:pt>
              </c:strCache>
            </c:strRef>
          </c:cat>
          <c:val>
            <c:numRef>
              <c:f>年龄!$C$71:$K$71</c:f>
              <c:numCache>
                <c:formatCode>General</c:formatCode>
                <c:ptCount val="9"/>
                <c:pt idx="0">
                  <c:v>7.676</c:v>
                </c:pt>
                <c:pt idx="1">
                  <c:v>8.978</c:v>
                </c:pt>
                <c:pt idx="2">
                  <c:v>44.348</c:v>
                </c:pt>
                <c:pt idx="3">
                  <c:v>112.424</c:v>
                </c:pt>
                <c:pt idx="4">
                  <c:v>238.654</c:v>
                </c:pt>
                <c:pt idx="5">
                  <c:v>440.96</c:v>
                </c:pt>
                <c:pt idx="6">
                  <c:v>701.951999999997</c:v>
                </c:pt>
                <c:pt idx="7">
                  <c:v>1056.366</c:v>
                </c:pt>
                <c:pt idx="8">
                  <c:v>1031.604</c:v>
                </c:pt>
              </c:numCache>
            </c:numRef>
          </c:val>
          <c:smooth val="0"/>
        </c:ser>
        <c:dLbls>
          <c:showLegendKey val="0"/>
          <c:showVal val="0"/>
          <c:showCatName val="0"/>
          <c:showSerName val="0"/>
          <c:showPercent val="0"/>
          <c:showBubbleSize val="0"/>
        </c:dLbls>
        <c:marker val="0"/>
        <c:smooth val="0"/>
        <c:axId val="109871104"/>
        <c:axId val="109873024"/>
      </c:lineChart>
      <c:catAx>
        <c:axId val="109871104"/>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年龄组</a:t>
                </a:r>
                <a:endParaRPr lang="zh-CN" altLang="en-US"/>
              </a:p>
            </c:rich>
          </c:tx>
          <c:layout/>
          <c:overlay val="0"/>
        </c:title>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9873024"/>
        <c:crosses val="autoZero"/>
        <c:auto val="1"/>
        <c:lblAlgn val="ctr"/>
        <c:lblOffset val="100"/>
        <c:noMultiLvlLbl val="0"/>
      </c:catAx>
      <c:valAx>
        <c:axId val="109873024"/>
        <c:scaling>
          <c:orientation val="minMax"/>
        </c:scaling>
        <c:delete val="0"/>
        <c:axPos val="l"/>
        <c:majorGridlines/>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发病率（</a:t>
                </a:r>
                <a:r>
                  <a:rPr lang="en-US" altLang="zh-CN"/>
                  <a:t>/10</a:t>
                </a:r>
                <a:r>
                  <a:rPr lang="zh-CN" altLang="en-US"/>
                  <a:t>万）</a:t>
                </a:r>
                <a:endParaRPr lang="zh-CN" alt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98711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600"/>
              <a:t>调查对象分年龄组高血压患病率</a:t>
            </a:r>
            <a:endParaRPr lang="zh-CN" sz="1600"/>
          </a:p>
        </c:rich>
      </c:tx>
      <c:layout/>
      <c:overlay val="0"/>
    </c:title>
    <c:autoTitleDeleted val="0"/>
    <c:plotArea>
      <c:layout/>
      <c:barChart>
        <c:barDir val="col"/>
        <c:grouping val="clustered"/>
        <c:varyColors val="0"/>
        <c:ser>
          <c:idx val="1"/>
          <c:order val="1"/>
          <c:tx>
            <c:strRef>
              <c:f>女性</c:f>
              <c:strCache>
                <c:ptCount val="1"/>
                <c:pt idx="0">
                  <c:v>女性</c:v>
                </c:pt>
              </c:strCache>
            </c:strRef>
          </c:tx>
          <c:invertIfNegative val="0"/>
          <c:dLbls>
            <c:delete val="1"/>
          </c:dLbls>
          <c:cat>
            <c:strRef>
              <c:f>基线!$B$178:$B$184</c:f>
              <c:strCache>
                <c:ptCount val="7"/>
                <c:pt idx="0">
                  <c:v>18~29</c:v>
                </c:pt>
                <c:pt idx="1">
                  <c:v>30~</c:v>
                </c:pt>
                <c:pt idx="2">
                  <c:v>40~</c:v>
                </c:pt>
                <c:pt idx="3">
                  <c:v>50~</c:v>
                </c:pt>
                <c:pt idx="4">
                  <c:v>60~</c:v>
                </c:pt>
                <c:pt idx="5">
                  <c:v>70~</c:v>
                </c:pt>
                <c:pt idx="6">
                  <c:v>80~</c:v>
                </c:pt>
              </c:strCache>
            </c:strRef>
          </c:cat>
          <c:val>
            <c:numRef>
              <c:f>基线!$G$178:$G$184</c:f>
              <c:numCache>
                <c:formatCode>0.00_);[Red]\(0.00\)</c:formatCode>
                <c:ptCount val="7"/>
                <c:pt idx="0">
                  <c:v>0</c:v>
                </c:pt>
                <c:pt idx="1">
                  <c:v>7.69230769230769</c:v>
                </c:pt>
                <c:pt idx="2">
                  <c:v>17.910447761194</c:v>
                </c:pt>
                <c:pt idx="3">
                  <c:v>39.0374331550802</c:v>
                </c:pt>
                <c:pt idx="4">
                  <c:v>61.3402061855664</c:v>
                </c:pt>
                <c:pt idx="5">
                  <c:v>78.2178217821793</c:v>
                </c:pt>
                <c:pt idx="6">
                  <c:v>87.5</c:v>
                </c:pt>
              </c:numCache>
            </c:numRef>
          </c:val>
        </c:ser>
        <c:ser>
          <c:idx val="0"/>
          <c:order val="0"/>
          <c:tx>
            <c:strRef>
              <c:f>男性</c:f>
              <c:strCache>
                <c:ptCount val="1"/>
                <c:pt idx="0">
                  <c:v>男性</c:v>
                </c:pt>
              </c:strCache>
            </c:strRef>
          </c:tx>
          <c:invertIfNegative val="0"/>
          <c:dLbls>
            <c:delete val="1"/>
          </c:dLbls>
          <c:cat>
            <c:strRef>
              <c:f>基线!$B$178:$B$184</c:f>
              <c:strCache>
                <c:ptCount val="7"/>
                <c:pt idx="0">
                  <c:v>18~29</c:v>
                </c:pt>
                <c:pt idx="1">
                  <c:v>30~</c:v>
                </c:pt>
                <c:pt idx="2">
                  <c:v>40~</c:v>
                </c:pt>
                <c:pt idx="3">
                  <c:v>50~</c:v>
                </c:pt>
                <c:pt idx="4">
                  <c:v>60~</c:v>
                </c:pt>
                <c:pt idx="5">
                  <c:v>70~</c:v>
                </c:pt>
                <c:pt idx="6">
                  <c:v>80~</c:v>
                </c:pt>
              </c:strCache>
            </c:strRef>
          </c:cat>
          <c:val>
            <c:numRef>
              <c:f>基线!$D$178:$D$184</c:f>
              <c:numCache>
                <c:formatCode>0.00_);[Red]\(0.00\)</c:formatCode>
                <c:ptCount val="7"/>
                <c:pt idx="0">
                  <c:v>9.0909090909091</c:v>
                </c:pt>
                <c:pt idx="1">
                  <c:v>24</c:v>
                </c:pt>
                <c:pt idx="2">
                  <c:v>36</c:v>
                </c:pt>
                <c:pt idx="3">
                  <c:v>42.0689655172414</c:v>
                </c:pt>
                <c:pt idx="4">
                  <c:v>67.8571428571427</c:v>
                </c:pt>
                <c:pt idx="5">
                  <c:v>70.9090909090909</c:v>
                </c:pt>
                <c:pt idx="6">
                  <c:v>87.8787878787854</c:v>
                </c:pt>
              </c:numCache>
            </c:numRef>
          </c:val>
        </c:ser>
        <c:ser>
          <c:idx val="2"/>
          <c:order val="2"/>
          <c:tx>
            <c:strRef>
              <c:f>合计</c:f>
              <c:strCache>
                <c:ptCount val="1"/>
                <c:pt idx="0">
                  <c:v>合计</c:v>
                </c:pt>
              </c:strCache>
            </c:strRef>
          </c:tx>
          <c:invertIfNegative val="0"/>
          <c:dLbls>
            <c:delete val="1"/>
          </c:dLbls>
          <c:cat>
            <c:strRef>
              <c:f>基线!$B$178:$B$184</c:f>
              <c:strCache>
                <c:ptCount val="7"/>
                <c:pt idx="0">
                  <c:v>18~29</c:v>
                </c:pt>
                <c:pt idx="1">
                  <c:v>30~</c:v>
                </c:pt>
                <c:pt idx="2">
                  <c:v>40~</c:v>
                </c:pt>
                <c:pt idx="3">
                  <c:v>50~</c:v>
                </c:pt>
                <c:pt idx="4">
                  <c:v>60~</c:v>
                </c:pt>
                <c:pt idx="5">
                  <c:v>70~</c:v>
                </c:pt>
                <c:pt idx="6">
                  <c:v>80~</c:v>
                </c:pt>
              </c:strCache>
            </c:strRef>
          </c:cat>
          <c:val>
            <c:numRef>
              <c:f>基线!$J$178:$J$184</c:f>
              <c:numCache>
                <c:formatCode>0.00_);[Red]\(0.00\)</c:formatCode>
                <c:ptCount val="7"/>
                <c:pt idx="0">
                  <c:v>4.44444444444445</c:v>
                </c:pt>
                <c:pt idx="1">
                  <c:v>14.0625000000001</c:v>
                </c:pt>
                <c:pt idx="2">
                  <c:v>24.4019138755981</c:v>
                </c:pt>
                <c:pt idx="3">
                  <c:v>40.361445783132</c:v>
                </c:pt>
                <c:pt idx="4">
                  <c:v>64.0718562874251</c:v>
                </c:pt>
                <c:pt idx="5">
                  <c:v>74.4075829383886</c:v>
                </c:pt>
                <c:pt idx="6">
                  <c:v>87.6543209876543</c:v>
                </c:pt>
              </c:numCache>
            </c:numRef>
          </c:val>
        </c:ser>
        <c:dLbls>
          <c:showLegendKey val="0"/>
          <c:showVal val="0"/>
          <c:showCatName val="0"/>
          <c:showSerName val="0"/>
          <c:showPercent val="0"/>
          <c:showBubbleSize val="0"/>
        </c:dLbls>
        <c:gapWidth val="150"/>
        <c:axId val="109972480"/>
        <c:axId val="109978368"/>
      </c:barChart>
      <c:catAx>
        <c:axId val="10997248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9978368"/>
        <c:crosses val="autoZero"/>
        <c:auto val="1"/>
        <c:lblAlgn val="ctr"/>
        <c:lblOffset val="100"/>
        <c:noMultiLvlLbl val="0"/>
      </c:catAx>
      <c:valAx>
        <c:axId val="109978368"/>
        <c:scaling>
          <c:orientation val="minMax"/>
          <c:max val="100"/>
          <c:min val="0"/>
        </c:scaling>
        <c:delete val="0"/>
        <c:axPos val="l"/>
        <c:majorGridlines/>
        <c:numFmt formatCode="#,##0.00;[Red]\-#,##0.00"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9972480"/>
        <c:crosses val="autoZero"/>
        <c:crossBetween val="between"/>
        <c:majorUnit val="10"/>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600"/>
              <a:t>人均期望寿命（岁</a:t>
            </a:r>
            <a:r>
              <a:rPr lang="zh-CN" altLang="en-US"/>
              <a:t>）</a:t>
            </a:r>
            <a:endParaRPr lang="zh-CN" altLang="en-US"/>
          </a:p>
        </c:rich>
      </c:tx>
      <c:layout/>
      <c:overlay val="0"/>
    </c:title>
    <c:autoTitleDeleted val="0"/>
    <c:plotArea>
      <c:layout/>
      <c:barChart>
        <c:barDir val="col"/>
        <c:grouping val="clustered"/>
        <c:varyColors val="0"/>
        <c:ser>
          <c:idx val="0"/>
          <c:order val="0"/>
          <c:tx>
            <c:strRef>
              <c:f>Sheet2!$B$2</c:f>
              <c:strCache>
                <c:ptCount val="1"/>
                <c:pt idx="0">
                  <c:v>人均期望寿命（岁）</c:v>
                </c:pt>
              </c:strCache>
            </c:strRef>
          </c:tx>
          <c:invertIfNegative val="0"/>
          <c:dLbls>
            <c:delete val="1"/>
          </c:dLbls>
          <c:cat>
            <c:strRef>
              <c:f>Sheet2!$A$3:$A$7</c:f>
              <c:strCache>
                <c:ptCount val="5"/>
                <c:pt idx="0">
                  <c:v>2015年</c:v>
                </c:pt>
                <c:pt idx="1">
                  <c:v>2016年</c:v>
                </c:pt>
                <c:pt idx="2">
                  <c:v>2017年</c:v>
                </c:pt>
                <c:pt idx="3">
                  <c:v>2018年</c:v>
                </c:pt>
                <c:pt idx="4">
                  <c:v>2019年</c:v>
                </c:pt>
              </c:strCache>
            </c:strRef>
          </c:cat>
          <c:val>
            <c:numRef>
              <c:f>Sheet2!$B$3:$B$7</c:f>
              <c:numCache>
                <c:formatCode>0.00_ </c:formatCode>
                <c:ptCount val="5"/>
                <c:pt idx="0">
                  <c:v>81</c:v>
                </c:pt>
                <c:pt idx="1">
                  <c:v>80.72</c:v>
                </c:pt>
                <c:pt idx="2" c:formatCode="General">
                  <c:v>81.54</c:v>
                </c:pt>
                <c:pt idx="3" c:formatCode="General">
                  <c:v>81.62</c:v>
                </c:pt>
                <c:pt idx="4" c:formatCode="General">
                  <c:v>81.96</c:v>
                </c:pt>
              </c:numCache>
            </c:numRef>
          </c:val>
        </c:ser>
        <c:dLbls>
          <c:showLegendKey val="0"/>
          <c:showVal val="0"/>
          <c:showCatName val="0"/>
          <c:showSerName val="0"/>
          <c:showPercent val="0"/>
          <c:showBubbleSize val="0"/>
        </c:dLbls>
        <c:gapWidth val="150"/>
        <c:axId val="283095808"/>
        <c:axId val="283097344"/>
      </c:barChart>
      <c:catAx>
        <c:axId val="28309580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3097344"/>
        <c:crosses val="autoZero"/>
        <c:auto val="1"/>
        <c:lblAlgn val="ctr"/>
        <c:lblOffset val="100"/>
        <c:noMultiLvlLbl val="0"/>
      </c:catAx>
      <c:valAx>
        <c:axId val="283097344"/>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8309580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600" b="1" i="0" baseline="0"/>
              <a:t>调查对象分年龄组血压</a:t>
            </a:r>
            <a:r>
              <a:rPr lang="zh-CN" altLang="en-US" sz="1600" b="1" i="0" baseline="0"/>
              <a:t>高值</a:t>
            </a:r>
            <a:r>
              <a:rPr lang="zh-CN" sz="1600" b="1" i="0" baseline="0"/>
              <a:t>患病率</a:t>
            </a:r>
            <a:endParaRPr lang="zh-CN" sz="1600"/>
          </a:p>
        </c:rich>
      </c:tx>
      <c:layout/>
      <c:overlay val="0"/>
    </c:title>
    <c:autoTitleDeleted val="0"/>
    <c:plotArea>
      <c:layout/>
      <c:barChart>
        <c:barDir val="col"/>
        <c:grouping val="clustered"/>
        <c:varyColors val="0"/>
        <c:ser>
          <c:idx val="0"/>
          <c:order val="0"/>
          <c:tx>
            <c:strRef>
              <c:f>男性</c:f>
              <c:strCache>
                <c:ptCount val="1"/>
                <c:pt idx="0">
                  <c:v>男性</c:v>
                </c:pt>
              </c:strCache>
            </c:strRef>
          </c:tx>
          <c:invertIfNegative val="0"/>
          <c:dLbls>
            <c:delete val="1"/>
          </c:dLbls>
          <c:cat>
            <c:strRef>
              <c:f>基线!$B$248:$B$254</c:f>
              <c:strCache>
                <c:ptCount val="7"/>
                <c:pt idx="0">
                  <c:v>18~29</c:v>
                </c:pt>
                <c:pt idx="1">
                  <c:v>30~</c:v>
                </c:pt>
                <c:pt idx="2">
                  <c:v>40~</c:v>
                </c:pt>
                <c:pt idx="3">
                  <c:v>50~</c:v>
                </c:pt>
                <c:pt idx="4">
                  <c:v>60~</c:v>
                </c:pt>
                <c:pt idx="5">
                  <c:v>70~</c:v>
                </c:pt>
                <c:pt idx="6">
                  <c:v>80~</c:v>
                </c:pt>
              </c:strCache>
            </c:strRef>
          </c:cat>
          <c:val>
            <c:numRef>
              <c:f>基线!$D$248:$D$254</c:f>
              <c:numCache>
                <c:formatCode>0.00_);[Red]\(0.00\)</c:formatCode>
                <c:ptCount val="7"/>
                <c:pt idx="0">
                  <c:v>45.4545454545449</c:v>
                </c:pt>
                <c:pt idx="1">
                  <c:v>36</c:v>
                </c:pt>
                <c:pt idx="2">
                  <c:v>41.3333333333333</c:v>
                </c:pt>
                <c:pt idx="3">
                  <c:v>42.7586206896552</c:v>
                </c:pt>
                <c:pt idx="4">
                  <c:v>22.8571428571428</c:v>
                </c:pt>
                <c:pt idx="5">
                  <c:v>22.7272727272727</c:v>
                </c:pt>
                <c:pt idx="6">
                  <c:v>12.121212121212</c:v>
                </c:pt>
              </c:numCache>
            </c:numRef>
          </c:val>
        </c:ser>
        <c:ser>
          <c:idx val="1"/>
          <c:order val="1"/>
          <c:tx>
            <c:strRef>
              <c:f>女性</c:f>
              <c:strCache>
                <c:ptCount val="1"/>
                <c:pt idx="0">
                  <c:v>女性</c:v>
                </c:pt>
              </c:strCache>
            </c:strRef>
          </c:tx>
          <c:invertIfNegative val="0"/>
          <c:dLbls>
            <c:delete val="1"/>
          </c:dLbls>
          <c:cat>
            <c:strRef>
              <c:f>基线!$B$248:$B$254</c:f>
              <c:strCache>
                <c:ptCount val="7"/>
                <c:pt idx="0">
                  <c:v>18~29</c:v>
                </c:pt>
                <c:pt idx="1">
                  <c:v>30~</c:v>
                </c:pt>
                <c:pt idx="2">
                  <c:v>40~</c:v>
                </c:pt>
                <c:pt idx="3">
                  <c:v>50~</c:v>
                </c:pt>
                <c:pt idx="4">
                  <c:v>60~</c:v>
                </c:pt>
                <c:pt idx="5">
                  <c:v>70~</c:v>
                </c:pt>
                <c:pt idx="6">
                  <c:v>80~</c:v>
                </c:pt>
              </c:strCache>
            </c:strRef>
          </c:cat>
          <c:val>
            <c:numRef>
              <c:f>基线!$G$248:$G$254</c:f>
              <c:numCache>
                <c:formatCode>0.00_);[Red]\(0.00\)</c:formatCode>
                <c:ptCount val="7"/>
                <c:pt idx="0">
                  <c:v>34.7826086956521</c:v>
                </c:pt>
                <c:pt idx="1">
                  <c:v>23.0769230769229</c:v>
                </c:pt>
                <c:pt idx="2">
                  <c:v>33.5820895522381</c:v>
                </c:pt>
                <c:pt idx="3">
                  <c:v>35.2941176470594</c:v>
                </c:pt>
                <c:pt idx="4">
                  <c:v>23.1958762886598</c:v>
                </c:pt>
                <c:pt idx="5">
                  <c:v>13.8613861386139</c:v>
                </c:pt>
                <c:pt idx="6">
                  <c:v>12.5</c:v>
                </c:pt>
              </c:numCache>
            </c:numRef>
          </c:val>
        </c:ser>
        <c:ser>
          <c:idx val="2"/>
          <c:order val="2"/>
          <c:tx>
            <c:strRef>
              <c:f>合计</c:f>
              <c:strCache>
                <c:ptCount val="1"/>
                <c:pt idx="0">
                  <c:v>合计</c:v>
                </c:pt>
              </c:strCache>
            </c:strRef>
          </c:tx>
          <c:invertIfNegative val="0"/>
          <c:dLbls>
            <c:delete val="1"/>
          </c:dLbls>
          <c:cat>
            <c:strRef>
              <c:f>基线!$B$248:$B$254</c:f>
              <c:strCache>
                <c:ptCount val="7"/>
                <c:pt idx="0">
                  <c:v>18~29</c:v>
                </c:pt>
                <c:pt idx="1">
                  <c:v>30~</c:v>
                </c:pt>
                <c:pt idx="2">
                  <c:v>40~</c:v>
                </c:pt>
                <c:pt idx="3">
                  <c:v>50~</c:v>
                </c:pt>
                <c:pt idx="4">
                  <c:v>60~</c:v>
                </c:pt>
                <c:pt idx="5">
                  <c:v>70~</c:v>
                </c:pt>
                <c:pt idx="6">
                  <c:v>80~</c:v>
                </c:pt>
              </c:strCache>
            </c:strRef>
          </c:cat>
          <c:val>
            <c:numRef>
              <c:f>基线!$J$248:$J$254</c:f>
              <c:numCache>
                <c:formatCode>0.00_);[Red]\(0.00\)</c:formatCode>
                <c:ptCount val="7"/>
                <c:pt idx="0">
                  <c:v>40</c:v>
                </c:pt>
                <c:pt idx="1">
                  <c:v>28.125</c:v>
                </c:pt>
                <c:pt idx="2">
                  <c:v>36.363636363636</c:v>
                </c:pt>
                <c:pt idx="3">
                  <c:v>38.5542168674699</c:v>
                </c:pt>
                <c:pt idx="4">
                  <c:v>23.0538922155689</c:v>
                </c:pt>
                <c:pt idx="5">
                  <c:v>18.4834123222747</c:v>
                </c:pt>
                <c:pt idx="6">
                  <c:v>12.3456790123458</c:v>
                </c:pt>
              </c:numCache>
            </c:numRef>
          </c:val>
        </c:ser>
        <c:dLbls>
          <c:showLegendKey val="0"/>
          <c:showVal val="0"/>
          <c:showCatName val="0"/>
          <c:showSerName val="0"/>
          <c:showPercent val="0"/>
          <c:showBubbleSize val="0"/>
        </c:dLbls>
        <c:gapWidth val="150"/>
        <c:axId val="110004096"/>
        <c:axId val="110005632"/>
      </c:barChart>
      <c:catAx>
        <c:axId val="11000409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005632"/>
        <c:crosses val="autoZero"/>
        <c:auto val="1"/>
        <c:lblAlgn val="ctr"/>
        <c:lblOffset val="100"/>
        <c:noMultiLvlLbl val="0"/>
      </c:catAx>
      <c:valAx>
        <c:axId val="110005632"/>
        <c:scaling>
          <c:orientation val="minMax"/>
        </c:scaling>
        <c:delete val="0"/>
        <c:axPos val="l"/>
        <c:majorGridlines/>
        <c:numFmt formatCode="0.00_);[Red]\(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00409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调查对象分年龄组糖尿病患病率</a:t>
            </a:r>
            <a:endParaRPr lang="zh-CN"/>
          </a:p>
        </c:rich>
      </c:tx>
      <c:layout/>
      <c:overlay val="0"/>
    </c:title>
    <c:autoTitleDeleted val="0"/>
    <c:plotArea>
      <c:layout/>
      <c:barChart>
        <c:barDir val="col"/>
        <c:grouping val="clustered"/>
        <c:varyColors val="0"/>
        <c:ser>
          <c:idx val="0"/>
          <c:order val="0"/>
          <c:tx>
            <c:strRef>
              <c:f>男性</c:f>
              <c:strCache>
                <c:ptCount val="1"/>
                <c:pt idx="0">
                  <c:v>男性</c:v>
                </c:pt>
              </c:strCache>
            </c:strRef>
          </c:tx>
          <c:invertIfNegative val="0"/>
          <c:dLbls>
            <c:delete val="1"/>
          </c:dLbls>
          <c:cat>
            <c:strRef>
              <c:f>'2、糖尿病'!$B$16:$B$22</c:f>
              <c:strCache>
                <c:ptCount val="7"/>
                <c:pt idx="0">
                  <c:v>18~29</c:v>
                </c:pt>
                <c:pt idx="1">
                  <c:v>30~</c:v>
                </c:pt>
                <c:pt idx="2">
                  <c:v>40~</c:v>
                </c:pt>
                <c:pt idx="3">
                  <c:v>50~</c:v>
                </c:pt>
                <c:pt idx="4">
                  <c:v>60~</c:v>
                </c:pt>
                <c:pt idx="5">
                  <c:v>70~</c:v>
                </c:pt>
                <c:pt idx="6">
                  <c:v>80~</c:v>
                </c:pt>
              </c:strCache>
            </c:strRef>
          </c:cat>
          <c:val>
            <c:numRef>
              <c:f>'2、糖尿病'!$D$16:$D$22</c:f>
              <c:numCache>
                <c:formatCode>0.00_);[Red]\(0.00\)</c:formatCode>
                <c:ptCount val="7"/>
                <c:pt idx="0">
                  <c:v>0</c:v>
                </c:pt>
                <c:pt idx="1">
                  <c:v>4</c:v>
                </c:pt>
                <c:pt idx="2">
                  <c:v>6.66666666666667</c:v>
                </c:pt>
                <c:pt idx="3">
                  <c:v>13.6986301369863</c:v>
                </c:pt>
                <c:pt idx="4">
                  <c:v>18.3098591549296</c:v>
                </c:pt>
                <c:pt idx="5">
                  <c:v>20.7207207207206</c:v>
                </c:pt>
                <c:pt idx="6">
                  <c:v>30.3030303030303</c:v>
                </c:pt>
              </c:numCache>
            </c:numRef>
          </c:val>
        </c:ser>
        <c:ser>
          <c:idx val="1"/>
          <c:order val="1"/>
          <c:tx>
            <c:strRef>
              <c:f>女性</c:f>
              <c:strCache>
                <c:ptCount val="1"/>
                <c:pt idx="0">
                  <c:v>女性</c:v>
                </c:pt>
              </c:strCache>
            </c:strRef>
          </c:tx>
          <c:invertIfNegative val="0"/>
          <c:dLbls>
            <c:delete val="1"/>
          </c:dLbls>
          <c:cat>
            <c:strRef>
              <c:f>'2、糖尿病'!$B$16:$B$22</c:f>
              <c:strCache>
                <c:ptCount val="7"/>
                <c:pt idx="0">
                  <c:v>18~29</c:v>
                </c:pt>
                <c:pt idx="1">
                  <c:v>30~</c:v>
                </c:pt>
                <c:pt idx="2">
                  <c:v>40~</c:v>
                </c:pt>
                <c:pt idx="3">
                  <c:v>50~</c:v>
                </c:pt>
                <c:pt idx="4">
                  <c:v>60~</c:v>
                </c:pt>
                <c:pt idx="5">
                  <c:v>70~</c:v>
                </c:pt>
                <c:pt idx="6">
                  <c:v>80~</c:v>
                </c:pt>
              </c:strCache>
            </c:strRef>
          </c:cat>
          <c:val>
            <c:numRef>
              <c:f>'2、糖尿病'!$G$16:$G$22</c:f>
              <c:numCache>
                <c:formatCode>0.00_);[Red]\(0.00\)</c:formatCode>
                <c:ptCount val="7"/>
                <c:pt idx="0">
                  <c:v>4.16666666666667</c:v>
                </c:pt>
                <c:pt idx="1">
                  <c:v>0</c:v>
                </c:pt>
                <c:pt idx="2">
                  <c:v>3.73134328358209</c:v>
                </c:pt>
                <c:pt idx="3">
                  <c:v>8.0213903743315</c:v>
                </c:pt>
                <c:pt idx="4">
                  <c:v>29.2929292929289</c:v>
                </c:pt>
                <c:pt idx="5">
                  <c:v>26.4705882352941</c:v>
                </c:pt>
                <c:pt idx="6">
                  <c:v>31.25</c:v>
                </c:pt>
              </c:numCache>
            </c:numRef>
          </c:val>
        </c:ser>
        <c:ser>
          <c:idx val="2"/>
          <c:order val="2"/>
          <c:tx>
            <c:strRef>
              <c:f>合计</c:f>
              <c:strCache>
                <c:ptCount val="1"/>
                <c:pt idx="0">
                  <c:v>合计</c:v>
                </c:pt>
              </c:strCache>
            </c:strRef>
          </c:tx>
          <c:invertIfNegative val="0"/>
          <c:dLbls>
            <c:delete val="1"/>
          </c:dLbls>
          <c:cat>
            <c:strRef>
              <c:f>'2、糖尿病'!$B$16:$B$22</c:f>
              <c:strCache>
                <c:ptCount val="7"/>
                <c:pt idx="0">
                  <c:v>18~29</c:v>
                </c:pt>
                <c:pt idx="1">
                  <c:v>30~</c:v>
                </c:pt>
                <c:pt idx="2">
                  <c:v>40~</c:v>
                </c:pt>
                <c:pt idx="3">
                  <c:v>50~</c:v>
                </c:pt>
                <c:pt idx="4">
                  <c:v>60~</c:v>
                </c:pt>
                <c:pt idx="5">
                  <c:v>70~</c:v>
                </c:pt>
                <c:pt idx="6">
                  <c:v>80~</c:v>
                </c:pt>
              </c:strCache>
            </c:strRef>
          </c:cat>
          <c:val>
            <c:numRef>
              <c:f>'2、糖尿病'!$J$16:$J$22</c:f>
              <c:numCache>
                <c:formatCode>0.00_);[Red]\(0.00\)</c:formatCode>
                <c:ptCount val="7"/>
                <c:pt idx="0">
                  <c:v>2.17391304347826</c:v>
                </c:pt>
                <c:pt idx="1">
                  <c:v>1.5625</c:v>
                </c:pt>
                <c:pt idx="2">
                  <c:v>4.78468899521531</c:v>
                </c:pt>
                <c:pt idx="3">
                  <c:v>10.5105105105105</c:v>
                </c:pt>
                <c:pt idx="4">
                  <c:v>24.7058823529411</c:v>
                </c:pt>
                <c:pt idx="5">
                  <c:v>23.4741784037559</c:v>
                </c:pt>
                <c:pt idx="6">
                  <c:v>30.8641975308642</c:v>
                </c:pt>
              </c:numCache>
            </c:numRef>
          </c:val>
        </c:ser>
        <c:dLbls>
          <c:showLegendKey val="0"/>
          <c:showVal val="0"/>
          <c:showCatName val="0"/>
          <c:showSerName val="0"/>
          <c:showPercent val="0"/>
          <c:showBubbleSize val="0"/>
        </c:dLbls>
        <c:gapWidth val="150"/>
        <c:axId val="35271424"/>
        <c:axId val="35272960"/>
      </c:barChart>
      <c:catAx>
        <c:axId val="3527142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272960"/>
        <c:crosses val="autoZero"/>
        <c:auto val="1"/>
        <c:lblAlgn val="ctr"/>
        <c:lblOffset val="100"/>
        <c:noMultiLvlLbl val="0"/>
      </c:catAx>
      <c:valAx>
        <c:axId val="35272960"/>
        <c:scaling>
          <c:orientation val="minMax"/>
        </c:scaling>
        <c:delete val="0"/>
        <c:axPos val="l"/>
        <c:majorGridlines/>
        <c:numFmt formatCode="0.00_);[Red]\(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27142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600" b="1" i="0" baseline="0"/>
              <a:t>调查对象分年龄组</a:t>
            </a:r>
            <a:r>
              <a:rPr lang="zh-CN" altLang="en-US" sz="1600" b="1" i="0" baseline="0"/>
              <a:t>糖调节受损</a:t>
            </a:r>
            <a:r>
              <a:rPr lang="zh-CN" sz="1600" b="1" i="0" baseline="0"/>
              <a:t>患病率</a:t>
            </a:r>
            <a:endParaRPr lang="zh-CN" sz="1600"/>
          </a:p>
        </c:rich>
      </c:tx>
      <c:layout/>
      <c:overlay val="0"/>
    </c:title>
    <c:autoTitleDeleted val="0"/>
    <c:plotArea>
      <c:layout/>
      <c:barChart>
        <c:barDir val="col"/>
        <c:grouping val="clustered"/>
        <c:varyColors val="0"/>
        <c:ser>
          <c:idx val="0"/>
          <c:order val="0"/>
          <c:tx>
            <c:strRef>
              <c:f>男性</c:f>
              <c:strCache>
                <c:ptCount val="1"/>
                <c:pt idx="0">
                  <c:v>男性</c:v>
                </c:pt>
              </c:strCache>
            </c:strRef>
          </c:tx>
          <c:invertIfNegative val="0"/>
          <c:dLbls>
            <c:delete val="1"/>
          </c:dLbls>
          <c:cat>
            <c:strRef>
              <c:f>'2、糖尿病'!$B$29:$B$35</c:f>
              <c:strCache>
                <c:ptCount val="7"/>
                <c:pt idx="0">
                  <c:v>18~29</c:v>
                </c:pt>
                <c:pt idx="1">
                  <c:v>30~</c:v>
                </c:pt>
                <c:pt idx="2">
                  <c:v>40~</c:v>
                </c:pt>
                <c:pt idx="3">
                  <c:v>50~</c:v>
                </c:pt>
                <c:pt idx="4">
                  <c:v>60~</c:v>
                </c:pt>
                <c:pt idx="5">
                  <c:v>70~</c:v>
                </c:pt>
                <c:pt idx="6">
                  <c:v>80~</c:v>
                </c:pt>
              </c:strCache>
            </c:strRef>
          </c:cat>
          <c:val>
            <c:numRef>
              <c:f>'2、糖尿病'!$D$29:$D$35</c:f>
              <c:numCache>
                <c:formatCode>0.00_);[Red]\(0.00\)</c:formatCode>
                <c:ptCount val="7"/>
                <c:pt idx="0">
                  <c:v>0</c:v>
                </c:pt>
                <c:pt idx="1">
                  <c:v>0</c:v>
                </c:pt>
                <c:pt idx="2">
                  <c:v>1.33333333333333</c:v>
                </c:pt>
                <c:pt idx="3">
                  <c:v>8.2191780821916</c:v>
                </c:pt>
                <c:pt idx="4">
                  <c:v>6.33802816901409</c:v>
                </c:pt>
                <c:pt idx="5">
                  <c:v>3.6036036036036</c:v>
                </c:pt>
                <c:pt idx="6">
                  <c:v>0</c:v>
                </c:pt>
              </c:numCache>
            </c:numRef>
          </c:val>
        </c:ser>
        <c:ser>
          <c:idx val="1"/>
          <c:order val="1"/>
          <c:tx>
            <c:strRef>
              <c:f>女性</c:f>
              <c:strCache>
                <c:ptCount val="1"/>
                <c:pt idx="0">
                  <c:v>女性</c:v>
                </c:pt>
              </c:strCache>
            </c:strRef>
          </c:tx>
          <c:invertIfNegative val="0"/>
          <c:dLbls>
            <c:delete val="1"/>
          </c:dLbls>
          <c:cat>
            <c:strRef>
              <c:f>'2、糖尿病'!$B$29:$B$35</c:f>
              <c:strCache>
                <c:ptCount val="7"/>
                <c:pt idx="0">
                  <c:v>18~29</c:v>
                </c:pt>
                <c:pt idx="1">
                  <c:v>30~</c:v>
                </c:pt>
                <c:pt idx="2">
                  <c:v>40~</c:v>
                </c:pt>
                <c:pt idx="3">
                  <c:v>50~</c:v>
                </c:pt>
                <c:pt idx="4">
                  <c:v>60~</c:v>
                </c:pt>
                <c:pt idx="5">
                  <c:v>70~</c:v>
                </c:pt>
                <c:pt idx="6">
                  <c:v>80~</c:v>
                </c:pt>
              </c:strCache>
            </c:strRef>
          </c:cat>
          <c:val>
            <c:numRef>
              <c:f>'2、糖尿病'!$G$29:$G$35</c:f>
              <c:numCache>
                <c:formatCode>0.00_);[Red]\(0.00\)</c:formatCode>
                <c:ptCount val="7"/>
                <c:pt idx="0">
                  <c:v>0</c:v>
                </c:pt>
                <c:pt idx="1">
                  <c:v>0</c:v>
                </c:pt>
                <c:pt idx="2">
                  <c:v>0.746268656716419</c:v>
                </c:pt>
                <c:pt idx="3">
                  <c:v>2.67379679144385</c:v>
                </c:pt>
                <c:pt idx="4">
                  <c:v>5.05050505050499</c:v>
                </c:pt>
                <c:pt idx="5">
                  <c:v>2.94117647058822</c:v>
                </c:pt>
                <c:pt idx="6">
                  <c:v>2.08333333333334</c:v>
                </c:pt>
              </c:numCache>
            </c:numRef>
          </c:val>
        </c:ser>
        <c:ser>
          <c:idx val="2"/>
          <c:order val="2"/>
          <c:tx>
            <c:strRef>
              <c:f>合计</c:f>
              <c:strCache>
                <c:ptCount val="1"/>
                <c:pt idx="0">
                  <c:v>合计</c:v>
                </c:pt>
              </c:strCache>
            </c:strRef>
          </c:tx>
          <c:invertIfNegative val="0"/>
          <c:dLbls>
            <c:delete val="1"/>
          </c:dLbls>
          <c:cat>
            <c:strRef>
              <c:f>'2、糖尿病'!$B$29:$B$35</c:f>
              <c:strCache>
                <c:ptCount val="7"/>
                <c:pt idx="0">
                  <c:v>18~29</c:v>
                </c:pt>
                <c:pt idx="1">
                  <c:v>30~</c:v>
                </c:pt>
                <c:pt idx="2">
                  <c:v>40~</c:v>
                </c:pt>
                <c:pt idx="3">
                  <c:v>50~</c:v>
                </c:pt>
                <c:pt idx="4">
                  <c:v>60~</c:v>
                </c:pt>
                <c:pt idx="5">
                  <c:v>70~</c:v>
                </c:pt>
                <c:pt idx="6">
                  <c:v>80~</c:v>
                </c:pt>
              </c:strCache>
            </c:strRef>
          </c:cat>
          <c:val>
            <c:numRef>
              <c:f>'2、糖尿病'!$J$29:$J$35</c:f>
              <c:numCache>
                <c:formatCode>0.00_);[Red]\(0.00\)</c:formatCode>
                <c:ptCount val="7"/>
                <c:pt idx="0">
                  <c:v>0</c:v>
                </c:pt>
                <c:pt idx="1">
                  <c:v>0</c:v>
                </c:pt>
                <c:pt idx="2">
                  <c:v>0.956937799043062</c:v>
                </c:pt>
                <c:pt idx="3">
                  <c:v>5.10510510510511</c:v>
                </c:pt>
                <c:pt idx="4">
                  <c:v>5.58823529411765</c:v>
                </c:pt>
                <c:pt idx="5">
                  <c:v>3.28638497652582</c:v>
                </c:pt>
                <c:pt idx="6">
                  <c:v>1.23456790123457</c:v>
                </c:pt>
              </c:numCache>
            </c:numRef>
          </c:val>
        </c:ser>
        <c:dLbls>
          <c:showLegendKey val="0"/>
          <c:showVal val="0"/>
          <c:showCatName val="0"/>
          <c:showSerName val="0"/>
          <c:showPercent val="0"/>
          <c:showBubbleSize val="0"/>
        </c:dLbls>
        <c:gapWidth val="150"/>
        <c:axId val="35298688"/>
        <c:axId val="35300480"/>
      </c:barChart>
      <c:catAx>
        <c:axId val="352986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300480"/>
        <c:crosses val="autoZero"/>
        <c:auto val="1"/>
        <c:lblAlgn val="ctr"/>
        <c:lblOffset val="100"/>
        <c:noMultiLvlLbl val="0"/>
      </c:catAx>
      <c:valAx>
        <c:axId val="35300480"/>
        <c:scaling>
          <c:orientation val="minMax"/>
        </c:scaling>
        <c:delete val="0"/>
        <c:axPos val="l"/>
        <c:majorGridlines/>
        <c:numFmt formatCode="0.00_);[Red]\(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2986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600"/>
              <a:t>调查对象分年龄组空腹血糖受损患病率</a:t>
            </a:r>
            <a:endParaRPr lang="zh-CN" sz="1600"/>
          </a:p>
        </c:rich>
      </c:tx>
      <c:layout>
        <c:manualLayout>
          <c:xMode val="edge"/>
          <c:yMode val="edge"/>
          <c:x val="0.128720075793634"/>
          <c:y val="0.00554401288074285"/>
        </c:manualLayout>
      </c:layout>
      <c:overlay val="1"/>
    </c:title>
    <c:autoTitleDeleted val="0"/>
    <c:plotArea>
      <c:layout/>
      <c:barChart>
        <c:barDir val="col"/>
        <c:grouping val="clustered"/>
        <c:varyColors val="0"/>
        <c:ser>
          <c:idx val="0"/>
          <c:order val="0"/>
          <c:tx>
            <c:strRef>
              <c:f>男性</c:f>
              <c:strCache>
                <c:ptCount val="1"/>
                <c:pt idx="0">
                  <c:v>男性</c:v>
                </c:pt>
              </c:strCache>
            </c:strRef>
          </c:tx>
          <c:invertIfNegative val="0"/>
          <c:dLbls>
            <c:delete val="1"/>
          </c:dLbls>
          <c:cat>
            <c:strRef>
              <c:f>'2、糖尿病'!$B$40:$B$46</c:f>
              <c:strCache>
                <c:ptCount val="7"/>
                <c:pt idx="0">
                  <c:v>18~29</c:v>
                </c:pt>
                <c:pt idx="1">
                  <c:v>30~</c:v>
                </c:pt>
                <c:pt idx="2">
                  <c:v>40~</c:v>
                </c:pt>
                <c:pt idx="3">
                  <c:v>50~</c:v>
                </c:pt>
                <c:pt idx="4">
                  <c:v>60~</c:v>
                </c:pt>
                <c:pt idx="5">
                  <c:v>70~</c:v>
                </c:pt>
                <c:pt idx="6">
                  <c:v>80~</c:v>
                </c:pt>
              </c:strCache>
            </c:strRef>
          </c:cat>
          <c:val>
            <c:numRef>
              <c:f>'2、糖尿病'!$D$40:$D$46</c:f>
              <c:numCache>
                <c:formatCode>0.00_);[Red]\(0.00\)</c:formatCode>
                <c:ptCount val="7"/>
                <c:pt idx="0">
                  <c:v>0</c:v>
                </c:pt>
                <c:pt idx="1">
                  <c:v>0</c:v>
                </c:pt>
                <c:pt idx="2">
                  <c:v>0</c:v>
                </c:pt>
                <c:pt idx="3">
                  <c:v>2.73972602739726</c:v>
                </c:pt>
                <c:pt idx="4">
                  <c:v>3.52112676056341</c:v>
                </c:pt>
                <c:pt idx="5">
                  <c:v>0.900900900900901</c:v>
                </c:pt>
                <c:pt idx="6">
                  <c:v>0</c:v>
                </c:pt>
              </c:numCache>
            </c:numRef>
          </c:val>
        </c:ser>
        <c:ser>
          <c:idx val="1"/>
          <c:order val="1"/>
          <c:tx>
            <c:strRef>
              <c:f>女性</c:f>
              <c:strCache>
                <c:ptCount val="1"/>
                <c:pt idx="0">
                  <c:v>女性</c:v>
                </c:pt>
              </c:strCache>
            </c:strRef>
          </c:tx>
          <c:invertIfNegative val="0"/>
          <c:dLbls>
            <c:delete val="1"/>
          </c:dLbls>
          <c:cat>
            <c:strRef>
              <c:f>'2、糖尿病'!$B$40:$B$46</c:f>
              <c:strCache>
                <c:ptCount val="7"/>
                <c:pt idx="0">
                  <c:v>18~29</c:v>
                </c:pt>
                <c:pt idx="1">
                  <c:v>30~</c:v>
                </c:pt>
                <c:pt idx="2">
                  <c:v>40~</c:v>
                </c:pt>
                <c:pt idx="3">
                  <c:v>50~</c:v>
                </c:pt>
                <c:pt idx="4">
                  <c:v>60~</c:v>
                </c:pt>
                <c:pt idx="5">
                  <c:v>70~</c:v>
                </c:pt>
                <c:pt idx="6">
                  <c:v>80~</c:v>
                </c:pt>
              </c:strCache>
            </c:strRef>
          </c:cat>
          <c:val>
            <c:numRef>
              <c:f>'2、糖尿病'!$G$40:$G$46</c:f>
              <c:numCache>
                <c:formatCode>0.00_);[Red]\(0.00\)</c:formatCode>
                <c:ptCount val="7"/>
                <c:pt idx="0">
                  <c:v>0</c:v>
                </c:pt>
                <c:pt idx="1">
                  <c:v>0</c:v>
                </c:pt>
                <c:pt idx="2">
                  <c:v>0.746268656716419</c:v>
                </c:pt>
                <c:pt idx="3">
                  <c:v>1.06951871657754</c:v>
                </c:pt>
                <c:pt idx="4">
                  <c:v>3.53535353535352</c:v>
                </c:pt>
                <c:pt idx="5">
                  <c:v>0</c:v>
                </c:pt>
                <c:pt idx="6">
                  <c:v>2.08333333333334</c:v>
                </c:pt>
              </c:numCache>
            </c:numRef>
          </c:val>
        </c:ser>
        <c:ser>
          <c:idx val="2"/>
          <c:order val="2"/>
          <c:tx>
            <c:strRef>
              <c:f>合计</c:f>
              <c:strCache>
                <c:ptCount val="1"/>
                <c:pt idx="0">
                  <c:v>合计</c:v>
                </c:pt>
              </c:strCache>
            </c:strRef>
          </c:tx>
          <c:invertIfNegative val="0"/>
          <c:dLbls>
            <c:delete val="1"/>
          </c:dLbls>
          <c:cat>
            <c:strRef>
              <c:f>'2、糖尿病'!$B$40:$B$46</c:f>
              <c:strCache>
                <c:ptCount val="7"/>
                <c:pt idx="0">
                  <c:v>18~29</c:v>
                </c:pt>
                <c:pt idx="1">
                  <c:v>30~</c:v>
                </c:pt>
                <c:pt idx="2">
                  <c:v>40~</c:v>
                </c:pt>
                <c:pt idx="3">
                  <c:v>50~</c:v>
                </c:pt>
                <c:pt idx="4">
                  <c:v>60~</c:v>
                </c:pt>
                <c:pt idx="5">
                  <c:v>70~</c:v>
                </c:pt>
                <c:pt idx="6">
                  <c:v>80~</c:v>
                </c:pt>
              </c:strCache>
            </c:strRef>
          </c:cat>
          <c:val>
            <c:numRef>
              <c:f>'2、糖尿病'!$J$40:$J$46</c:f>
              <c:numCache>
                <c:formatCode>0.00_);[Red]\(0.00\)</c:formatCode>
                <c:ptCount val="7"/>
                <c:pt idx="0">
                  <c:v>0</c:v>
                </c:pt>
                <c:pt idx="1">
                  <c:v>0</c:v>
                </c:pt>
                <c:pt idx="2">
                  <c:v>0.478468899521531</c:v>
                </c:pt>
                <c:pt idx="3">
                  <c:v>1.8018018018018</c:v>
                </c:pt>
                <c:pt idx="4">
                  <c:v>3.52941176470588</c:v>
                </c:pt>
                <c:pt idx="5">
                  <c:v>0.469483568075117</c:v>
                </c:pt>
                <c:pt idx="6">
                  <c:v>1.23456790123457</c:v>
                </c:pt>
              </c:numCache>
            </c:numRef>
          </c:val>
        </c:ser>
        <c:dLbls>
          <c:showLegendKey val="0"/>
          <c:showVal val="0"/>
          <c:showCatName val="0"/>
          <c:showSerName val="0"/>
          <c:showPercent val="0"/>
          <c:showBubbleSize val="0"/>
        </c:dLbls>
        <c:gapWidth val="150"/>
        <c:axId val="109918464"/>
        <c:axId val="109920256"/>
      </c:barChart>
      <c:catAx>
        <c:axId val="10991846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9920256"/>
        <c:crosses val="autoZero"/>
        <c:auto val="1"/>
        <c:lblAlgn val="ctr"/>
        <c:lblOffset val="100"/>
        <c:noMultiLvlLbl val="0"/>
      </c:catAx>
      <c:valAx>
        <c:axId val="109920256"/>
        <c:scaling>
          <c:orientation val="minMax"/>
        </c:scaling>
        <c:delete val="0"/>
        <c:axPos val="l"/>
        <c:majorGridlines/>
        <c:numFmt formatCode="0.00_);[Red]\(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0991846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800"/>
              <a:t>调查对象分年龄组血脂异常患病率</a:t>
            </a:r>
            <a:endParaRPr lang="zh-CN" sz="1800"/>
          </a:p>
        </c:rich>
      </c:tx>
      <c:layout/>
      <c:overlay val="0"/>
    </c:title>
    <c:autoTitleDeleted val="0"/>
    <c:plotArea>
      <c:layout/>
      <c:barChart>
        <c:barDir val="col"/>
        <c:grouping val="clustered"/>
        <c:varyColors val="0"/>
        <c:ser>
          <c:idx val="0"/>
          <c:order val="0"/>
          <c:tx>
            <c:strRef>
              <c:f>男性</c:f>
              <c:strCache>
                <c:ptCount val="1"/>
                <c:pt idx="0">
                  <c:v>男性</c:v>
                </c:pt>
              </c:strCache>
            </c:strRef>
          </c:tx>
          <c:invertIfNegative val="0"/>
          <c:dLbls>
            <c:delete val="1"/>
          </c:dLbls>
          <c:cat>
            <c:strRef>
              <c:f>'6、血脂异常'!$B$3:$B$9</c:f>
              <c:strCache>
                <c:ptCount val="7"/>
                <c:pt idx="0">
                  <c:v>18~29</c:v>
                </c:pt>
                <c:pt idx="1">
                  <c:v>30~</c:v>
                </c:pt>
                <c:pt idx="2">
                  <c:v>40~</c:v>
                </c:pt>
                <c:pt idx="3">
                  <c:v>50~</c:v>
                </c:pt>
                <c:pt idx="4">
                  <c:v>60~</c:v>
                </c:pt>
                <c:pt idx="5">
                  <c:v>70~</c:v>
                </c:pt>
                <c:pt idx="6">
                  <c:v>80~</c:v>
                </c:pt>
              </c:strCache>
            </c:strRef>
          </c:cat>
          <c:val>
            <c:numRef>
              <c:f>'6、血脂异常'!$D$3:$D$9</c:f>
              <c:numCache>
                <c:formatCode>0.00%</c:formatCode>
                <c:ptCount val="7"/>
                <c:pt idx="0">
                  <c:v>0.363636363636364</c:v>
                </c:pt>
                <c:pt idx="1">
                  <c:v>0.600000000000002</c:v>
                </c:pt>
                <c:pt idx="2">
                  <c:v>0.613333333333335</c:v>
                </c:pt>
                <c:pt idx="3">
                  <c:v>0.564625850340148</c:v>
                </c:pt>
                <c:pt idx="4">
                  <c:v>0.485915492957752</c:v>
                </c:pt>
                <c:pt idx="5">
                  <c:v>0.48648648648649</c:v>
                </c:pt>
                <c:pt idx="6">
                  <c:v>0.424242424242424</c:v>
                </c:pt>
              </c:numCache>
            </c:numRef>
          </c:val>
        </c:ser>
        <c:ser>
          <c:idx val="1"/>
          <c:order val="1"/>
          <c:tx>
            <c:strRef>
              <c:f>女性</c:f>
              <c:strCache>
                <c:ptCount val="1"/>
                <c:pt idx="0">
                  <c:v>女性</c:v>
                </c:pt>
              </c:strCache>
            </c:strRef>
          </c:tx>
          <c:invertIfNegative val="0"/>
          <c:dLbls>
            <c:delete val="1"/>
          </c:dLbls>
          <c:cat>
            <c:strRef>
              <c:f>'6、血脂异常'!$B$3:$B$9</c:f>
              <c:strCache>
                <c:ptCount val="7"/>
                <c:pt idx="0">
                  <c:v>18~29</c:v>
                </c:pt>
                <c:pt idx="1">
                  <c:v>30~</c:v>
                </c:pt>
                <c:pt idx="2">
                  <c:v>40~</c:v>
                </c:pt>
                <c:pt idx="3">
                  <c:v>50~</c:v>
                </c:pt>
                <c:pt idx="4">
                  <c:v>60~</c:v>
                </c:pt>
                <c:pt idx="5">
                  <c:v>70~</c:v>
                </c:pt>
                <c:pt idx="6">
                  <c:v>80~</c:v>
                </c:pt>
              </c:strCache>
            </c:strRef>
          </c:cat>
          <c:val>
            <c:numRef>
              <c:f>'6、血脂异常'!$G$3:$G$9</c:f>
              <c:numCache>
                <c:formatCode>0.00%</c:formatCode>
                <c:ptCount val="7"/>
                <c:pt idx="0">
                  <c:v>0.125</c:v>
                </c:pt>
                <c:pt idx="1">
                  <c:v>0.205128205128205</c:v>
                </c:pt>
                <c:pt idx="2">
                  <c:v>0.3134328358209</c:v>
                </c:pt>
                <c:pt idx="3">
                  <c:v>0.470588235294122</c:v>
                </c:pt>
                <c:pt idx="4">
                  <c:v>0.601010101010101</c:v>
                </c:pt>
                <c:pt idx="5">
                  <c:v>0.637254901960785</c:v>
                </c:pt>
                <c:pt idx="6">
                  <c:v>0.604166666666667</c:v>
                </c:pt>
              </c:numCache>
            </c:numRef>
          </c:val>
        </c:ser>
        <c:ser>
          <c:idx val="2"/>
          <c:order val="2"/>
          <c:tx>
            <c:strRef>
              <c:f>合计</c:f>
              <c:strCache>
                <c:ptCount val="1"/>
                <c:pt idx="0">
                  <c:v>合计</c:v>
                </c:pt>
              </c:strCache>
            </c:strRef>
          </c:tx>
          <c:invertIfNegative val="0"/>
          <c:dLbls>
            <c:delete val="1"/>
          </c:dLbls>
          <c:cat>
            <c:strRef>
              <c:f>'6、血脂异常'!$B$3:$B$9</c:f>
              <c:strCache>
                <c:ptCount val="7"/>
                <c:pt idx="0">
                  <c:v>18~29</c:v>
                </c:pt>
                <c:pt idx="1">
                  <c:v>30~</c:v>
                </c:pt>
                <c:pt idx="2">
                  <c:v>40~</c:v>
                </c:pt>
                <c:pt idx="3">
                  <c:v>50~</c:v>
                </c:pt>
                <c:pt idx="4">
                  <c:v>60~</c:v>
                </c:pt>
                <c:pt idx="5">
                  <c:v>70~</c:v>
                </c:pt>
                <c:pt idx="6">
                  <c:v>80~</c:v>
                </c:pt>
              </c:strCache>
            </c:strRef>
          </c:cat>
          <c:val>
            <c:numRef>
              <c:f>'6、血脂异常'!$J$3:$J$9</c:f>
              <c:numCache>
                <c:formatCode>0.00%</c:formatCode>
                <c:ptCount val="7"/>
                <c:pt idx="0">
                  <c:v>0.23913043478261</c:v>
                </c:pt>
                <c:pt idx="1">
                  <c:v>0.359375000000003</c:v>
                </c:pt>
                <c:pt idx="2">
                  <c:v>0.421052631578951</c:v>
                </c:pt>
                <c:pt idx="3">
                  <c:v>0.511976047904192</c:v>
                </c:pt>
                <c:pt idx="4">
                  <c:v>0.552941176470601</c:v>
                </c:pt>
                <c:pt idx="5">
                  <c:v>0.558685446009398</c:v>
                </c:pt>
                <c:pt idx="6">
                  <c:v>0.530864197530864</c:v>
                </c:pt>
              </c:numCache>
            </c:numRef>
          </c:val>
        </c:ser>
        <c:dLbls>
          <c:showLegendKey val="0"/>
          <c:showVal val="0"/>
          <c:showCatName val="0"/>
          <c:showSerName val="0"/>
          <c:showPercent val="0"/>
          <c:showBubbleSize val="0"/>
        </c:dLbls>
        <c:gapWidth val="150"/>
        <c:axId val="110059520"/>
        <c:axId val="110061056"/>
      </c:barChart>
      <c:catAx>
        <c:axId val="11005952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061056"/>
        <c:crosses val="autoZero"/>
        <c:auto val="1"/>
        <c:lblAlgn val="ctr"/>
        <c:lblOffset val="100"/>
        <c:noMultiLvlLbl val="0"/>
      </c:catAx>
      <c:valAx>
        <c:axId val="110061056"/>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0595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800"/>
              <a:t>调查对象分年龄组超重患病率</a:t>
            </a:r>
            <a:endParaRPr lang="zh-CN" sz="1800"/>
          </a:p>
        </c:rich>
      </c:tx>
      <c:layout/>
      <c:overlay val="0"/>
    </c:title>
    <c:autoTitleDeleted val="0"/>
    <c:plotArea>
      <c:layout>
        <c:manualLayout>
          <c:layoutTarget val="inner"/>
          <c:xMode val="edge"/>
          <c:yMode val="edge"/>
          <c:x val="0.132099518810149"/>
          <c:y val="0.0745487022455526"/>
          <c:w val="0.611622703412085"/>
          <c:h val="0.798225065616799"/>
        </c:manualLayout>
      </c:layout>
      <c:barChart>
        <c:barDir val="col"/>
        <c:grouping val="clustered"/>
        <c:varyColors val="0"/>
        <c:ser>
          <c:idx val="0"/>
          <c:order val="0"/>
          <c:tx>
            <c:strRef>
              <c:f>男性</c:f>
              <c:strCache>
                <c:ptCount val="1"/>
                <c:pt idx="0">
                  <c:v>男性</c:v>
                </c:pt>
              </c:strCache>
            </c:strRef>
          </c:tx>
          <c:invertIfNegative val="0"/>
          <c:dLbls>
            <c:delete val="1"/>
          </c:dLbls>
          <c:cat>
            <c:strRef>
              <c:f>'7、体重'!$B$3:$B$9</c:f>
              <c:strCache>
                <c:ptCount val="7"/>
                <c:pt idx="0">
                  <c:v>18~29</c:v>
                </c:pt>
                <c:pt idx="1">
                  <c:v>30~</c:v>
                </c:pt>
                <c:pt idx="2">
                  <c:v>40~</c:v>
                </c:pt>
                <c:pt idx="3">
                  <c:v>50~</c:v>
                </c:pt>
                <c:pt idx="4">
                  <c:v>60~</c:v>
                </c:pt>
                <c:pt idx="5">
                  <c:v>70~</c:v>
                </c:pt>
                <c:pt idx="6">
                  <c:v>80~</c:v>
                </c:pt>
              </c:strCache>
            </c:strRef>
          </c:cat>
          <c:val>
            <c:numRef>
              <c:f>'7、体重'!$D$3:$D$9</c:f>
              <c:numCache>
                <c:formatCode>0.00%</c:formatCode>
                <c:ptCount val="7"/>
                <c:pt idx="0">
                  <c:v>0.318181818181821</c:v>
                </c:pt>
                <c:pt idx="1">
                  <c:v>0.44</c:v>
                </c:pt>
                <c:pt idx="2">
                  <c:v>0.546666666666667</c:v>
                </c:pt>
                <c:pt idx="3">
                  <c:v>0.465753424657531</c:v>
                </c:pt>
                <c:pt idx="4">
                  <c:v>0.5</c:v>
                </c:pt>
                <c:pt idx="5">
                  <c:v>0.409090909090912</c:v>
                </c:pt>
                <c:pt idx="6">
                  <c:v>0.303030303030303</c:v>
                </c:pt>
              </c:numCache>
            </c:numRef>
          </c:val>
        </c:ser>
        <c:ser>
          <c:idx val="1"/>
          <c:order val="1"/>
          <c:tx>
            <c:strRef>
              <c:f>女性</c:f>
              <c:strCache>
                <c:ptCount val="1"/>
                <c:pt idx="0">
                  <c:v>女性</c:v>
                </c:pt>
              </c:strCache>
            </c:strRef>
          </c:tx>
          <c:invertIfNegative val="0"/>
          <c:dLbls>
            <c:delete val="1"/>
          </c:dLbls>
          <c:cat>
            <c:strRef>
              <c:f>'7、体重'!$B$3:$B$9</c:f>
              <c:strCache>
                <c:ptCount val="7"/>
                <c:pt idx="0">
                  <c:v>18~29</c:v>
                </c:pt>
                <c:pt idx="1">
                  <c:v>30~</c:v>
                </c:pt>
                <c:pt idx="2">
                  <c:v>40~</c:v>
                </c:pt>
                <c:pt idx="3">
                  <c:v>50~</c:v>
                </c:pt>
                <c:pt idx="4">
                  <c:v>60~</c:v>
                </c:pt>
                <c:pt idx="5">
                  <c:v>70~</c:v>
                </c:pt>
                <c:pt idx="6">
                  <c:v>80~</c:v>
                </c:pt>
              </c:strCache>
            </c:strRef>
          </c:cat>
          <c:val>
            <c:numRef>
              <c:f>'7、体重'!$G$3:$G$9</c:f>
              <c:numCache>
                <c:formatCode>0.00%</c:formatCode>
                <c:ptCount val="7"/>
                <c:pt idx="0">
                  <c:v>0.0454545454545455</c:v>
                </c:pt>
                <c:pt idx="1">
                  <c:v>0.128205128205128</c:v>
                </c:pt>
                <c:pt idx="2">
                  <c:v>0.26865671641791</c:v>
                </c:pt>
                <c:pt idx="3">
                  <c:v>0.440860215053764</c:v>
                </c:pt>
                <c:pt idx="4">
                  <c:v>0.434343434343434</c:v>
                </c:pt>
                <c:pt idx="5">
                  <c:v>0.41</c:v>
                </c:pt>
                <c:pt idx="6">
                  <c:v>0.270833333333333</c:v>
                </c:pt>
              </c:numCache>
            </c:numRef>
          </c:val>
        </c:ser>
        <c:ser>
          <c:idx val="2"/>
          <c:order val="2"/>
          <c:tx>
            <c:strRef>
              <c:f>合计</c:f>
              <c:strCache>
                <c:ptCount val="1"/>
                <c:pt idx="0">
                  <c:v>合计</c:v>
                </c:pt>
              </c:strCache>
            </c:strRef>
          </c:tx>
          <c:invertIfNegative val="0"/>
          <c:dLbls>
            <c:delete val="1"/>
          </c:dLbls>
          <c:cat>
            <c:strRef>
              <c:f>'7、体重'!$B$3:$B$9</c:f>
              <c:strCache>
                <c:ptCount val="7"/>
                <c:pt idx="0">
                  <c:v>18~29</c:v>
                </c:pt>
                <c:pt idx="1">
                  <c:v>30~</c:v>
                </c:pt>
                <c:pt idx="2">
                  <c:v>40~</c:v>
                </c:pt>
                <c:pt idx="3">
                  <c:v>50~</c:v>
                </c:pt>
                <c:pt idx="4">
                  <c:v>60~</c:v>
                </c:pt>
                <c:pt idx="5">
                  <c:v>70~</c:v>
                </c:pt>
                <c:pt idx="6">
                  <c:v>80~</c:v>
                </c:pt>
              </c:strCache>
            </c:strRef>
          </c:cat>
          <c:val>
            <c:numRef>
              <c:f>'7、体重'!$J$3:$J$9</c:f>
              <c:numCache>
                <c:formatCode>0.00%</c:formatCode>
                <c:ptCount val="7"/>
                <c:pt idx="0">
                  <c:v>0.181818181818184</c:v>
                </c:pt>
                <c:pt idx="1">
                  <c:v>0.25</c:v>
                </c:pt>
                <c:pt idx="2">
                  <c:v>0.368421052631579</c:v>
                </c:pt>
                <c:pt idx="3">
                  <c:v>0.451807228915663</c:v>
                </c:pt>
                <c:pt idx="4">
                  <c:v>0.461764705882356</c:v>
                </c:pt>
                <c:pt idx="5">
                  <c:v>0.409523809523813</c:v>
                </c:pt>
                <c:pt idx="6">
                  <c:v>0.283950617283955</c:v>
                </c:pt>
              </c:numCache>
            </c:numRef>
          </c:val>
        </c:ser>
        <c:dLbls>
          <c:showLegendKey val="0"/>
          <c:showVal val="0"/>
          <c:showCatName val="0"/>
          <c:showSerName val="0"/>
          <c:showPercent val="0"/>
          <c:showBubbleSize val="0"/>
        </c:dLbls>
        <c:gapWidth val="150"/>
        <c:axId val="110082688"/>
        <c:axId val="110088576"/>
      </c:barChart>
      <c:catAx>
        <c:axId val="1100826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088576"/>
        <c:crosses val="autoZero"/>
        <c:auto val="1"/>
        <c:lblAlgn val="ctr"/>
        <c:lblOffset val="100"/>
        <c:noMultiLvlLbl val="0"/>
      </c:catAx>
      <c:valAx>
        <c:axId val="110088576"/>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0826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800" b="1" i="0" baseline="0"/>
              <a:t>调查对象分年龄组</a:t>
            </a:r>
            <a:r>
              <a:rPr lang="zh-CN" altLang="en-US" sz="1800" b="1" i="0" baseline="0"/>
              <a:t>肥胖</a:t>
            </a:r>
            <a:r>
              <a:rPr lang="zh-CN" sz="1800" b="1" i="0" baseline="0"/>
              <a:t>患病率</a:t>
            </a:r>
            <a:endParaRPr lang="zh-CN"/>
          </a:p>
        </c:rich>
      </c:tx>
      <c:layout>
        <c:manualLayout>
          <c:xMode val="edge"/>
          <c:yMode val="edge"/>
          <c:x val="0.176638650363744"/>
          <c:y val="0.0377446267015865"/>
        </c:manualLayout>
      </c:layout>
      <c:overlay val="0"/>
    </c:title>
    <c:autoTitleDeleted val="0"/>
    <c:plotArea>
      <c:layout/>
      <c:barChart>
        <c:barDir val="col"/>
        <c:grouping val="clustered"/>
        <c:varyColors val="0"/>
        <c:ser>
          <c:idx val="0"/>
          <c:order val="0"/>
          <c:tx>
            <c:strRef>
              <c:f>男性</c:f>
              <c:strCache>
                <c:ptCount val="1"/>
                <c:pt idx="0">
                  <c:v>男性</c:v>
                </c:pt>
              </c:strCache>
            </c:strRef>
          </c:tx>
          <c:invertIfNegative val="0"/>
          <c:dLbls>
            <c:delete val="1"/>
          </c:dLbls>
          <c:cat>
            <c:strRef>
              <c:f>'7、体重'!$B$29:$B$35</c:f>
              <c:strCache>
                <c:ptCount val="7"/>
                <c:pt idx="0">
                  <c:v>18~29</c:v>
                </c:pt>
                <c:pt idx="1">
                  <c:v>30~</c:v>
                </c:pt>
                <c:pt idx="2">
                  <c:v>40~</c:v>
                </c:pt>
                <c:pt idx="3">
                  <c:v>50~</c:v>
                </c:pt>
                <c:pt idx="4">
                  <c:v>60~</c:v>
                </c:pt>
                <c:pt idx="5">
                  <c:v>70~</c:v>
                </c:pt>
                <c:pt idx="6">
                  <c:v>80~</c:v>
                </c:pt>
              </c:strCache>
            </c:strRef>
          </c:cat>
          <c:val>
            <c:numRef>
              <c:f>'7、体重'!$D$29:$D$35</c:f>
              <c:numCache>
                <c:formatCode>0.00%</c:formatCode>
                <c:ptCount val="7"/>
                <c:pt idx="0">
                  <c:v>0.0454545454545455</c:v>
                </c:pt>
                <c:pt idx="1">
                  <c:v>0.12</c:v>
                </c:pt>
                <c:pt idx="2">
                  <c:v>0.0666666666666667</c:v>
                </c:pt>
                <c:pt idx="3">
                  <c:v>0.143835616438356</c:v>
                </c:pt>
                <c:pt idx="4">
                  <c:v>0.0915492957746481</c:v>
                </c:pt>
                <c:pt idx="5">
                  <c:v>0.163636363636364</c:v>
                </c:pt>
                <c:pt idx="6">
                  <c:v>0</c:v>
                </c:pt>
              </c:numCache>
            </c:numRef>
          </c:val>
        </c:ser>
        <c:ser>
          <c:idx val="1"/>
          <c:order val="1"/>
          <c:tx>
            <c:strRef>
              <c:f>女性</c:f>
              <c:strCache>
                <c:ptCount val="1"/>
                <c:pt idx="0">
                  <c:v>女性</c:v>
                </c:pt>
              </c:strCache>
            </c:strRef>
          </c:tx>
          <c:invertIfNegative val="0"/>
          <c:dLbls>
            <c:delete val="1"/>
          </c:dLbls>
          <c:cat>
            <c:strRef>
              <c:f>'7、体重'!$B$29:$B$35</c:f>
              <c:strCache>
                <c:ptCount val="7"/>
                <c:pt idx="0">
                  <c:v>18~29</c:v>
                </c:pt>
                <c:pt idx="1">
                  <c:v>30~</c:v>
                </c:pt>
                <c:pt idx="2">
                  <c:v>40~</c:v>
                </c:pt>
                <c:pt idx="3">
                  <c:v>50~</c:v>
                </c:pt>
                <c:pt idx="4">
                  <c:v>60~</c:v>
                </c:pt>
                <c:pt idx="5">
                  <c:v>70~</c:v>
                </c:pt>
                <c:pt idx="6">
                  <c:v>80~</c:v>
                </c:pt>
              </c:strCache>
            </c:strRef>
          </c:cat>
          <c:val>
            <c:numRef>
              <c:f>'7、体重'!$G$29:$G$35</c:f>
              <c:numCache>
                <c:formatCode>0.00%</c:formatCode>
                <c:ptCount val="7"/>
                <c:pt idx="0">
                  <c:v>0</c:v>
                </c:pt>
                <c:pt idx="1">
                  <c:v>0</c:v>
                </c:pt>
                <c:pt idx="2">
                  <c:v>0.0746268656716418</c:v>
                </c:pt>
                <c:pt idx="3">
                  <c:v>0.0860215053763442</c:v>
                </c:pt>
                <c:pt idx="4">
                  <c:v>0.141414141414144</c:v>
                </c:pt>
                <c:pt idx="5">
                  <c:v>0.17</c:v>
                </c:pt>
                <c:pt idx="6">
                  <c:v>0.208333333333334</c:v>
                </c:pt>
              </c:numCache>
            </c:numRef>
          </c:val>
        </c:ser>
        <c:ser>
          <c:idx val="2"/>
          <c:order val="2"/>
          <c:tx>
            <c:strRef>
              <c:f>合计</c:f>
              <c:strCache>
                <c:ptCount val="1"/>
                <c:pt idx="0">
                  <c:v>合计</c:v>
                </c:pt>
              </c:strCache>
            </c:strRef>
          </c:tx>
          <c:invertIfNegative val="0"/>
          <c:dLbls>
            <c:delete val="1"/>
          </c:dLbls>
          <c:cat>
            <c:strRef>
              <c:f>'7、体重'!$B$29:$B$35</c:f>
              <c:strCache>
                <c:ptCount val="7"/>
                <c:pt idx="0">
                  <c:v>18~29</c:v>
                </c:pt>
                <c:pt idx="1">
                  <c:v>30~</c:v>
                </c:pt>
                <c:pt idx="2">
                  <c:v>40~</c:v>
                </c:pt>
                <c:pt idx="3">
                  <c:v>50~</c:v>
                </c:pt>
                <c:pt idx="4">
                  <c:v>60~</c:v>
                </c:pt>
                <c:pt idx="5">
                  <c:v>70~</c:v>
                </c:pt>
                <c:pt idx="6">
                  <c:v>80~</c:v>
                </c:pt>
              </c:strCache>
            </c:strRef>
          </c:cat>
          <c:val>
            <c:numRef>
              <c:f>'7、体重'!$J$29:$J$35</c:f>
              <c:numCache>
                <c:formatCode>0.00%</c:formatCode>
                <c:ptCount val="7"/>
                <c:pt idx="0">
                  <c:v>0.0227272727272731</c:v>
                </c:pt>
                <c:pt idx="1">
                  <c:v>0.046875</c:v>
                </c:pt>
                <c:pt idx="2">
                  <c:v>0.0717703349282297</c:v>
                </c:pt>
                <c:pt idx="3">
                  <c:v>0.11144578313253</c:v>
                </c:pt>
                <c:pt idx="4">
                  <c:v>0.120588235294118</c:v>
                </c:pt>
                <c:pt idx="5">
                  <c:v>0.166666666666667</c:v>
                </c:pt>
                <c:pt idx="6">
                  <c:v>0.123456790123457</c:v>
                </c:pt>
              </c:numCache>
            </c:numRef>
          </c:val>
        </c:ser>
        <c:dLbls>
          <c:showLegendKey val="0"/>
          <c:showVal val="0"/>
          <c:showCatName val="0"/>
          <c:showSerName val="0"/>
          <c:showPercent val="0"/>
          <c:showBubbleSize val="0"/>
        </c:dLbls>
        <c:gapWidth val="150"/>
        <c:axId val="110384640"/>
        <c:axId val="110386176"/>
      </c:barChart>
      <c:catAx>
        <c:axId val="1103846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386176"/>
        <c:crosses val="autoZero"/>
        <c:auto val="1"/>
        <c:lblAlgn val="ctr"/>
        <c:lblOffset val="100"/>
        <c:noMultiLvlLbl val="0"/>
      </c:catAx>
      <c:valAx>
        <c:axId val="110386176"/>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3846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en-US" sz="1800" b="1" i="0" baseline="0"/>
              <a:t> </a:t>
            </a:r>
            <a:r>
              <a:rPr lang="zh-CN" sz="1800" b="1" i="0" baseline="0"/>
              <a:t>调查对象分年龄组</a:t>
            </a:r>
            <a:r>
              <a:rPr lang="zh-CN" altLang="en-US" sz="1800" b="1" i="0" baseline="0"/>
              <a:t>中心性肥胖</a:t>
            </a:r>
            <a:r>
              <a:rPr lang="zh-CN" sz="1800" b="1" i="0" baseline="0"/>
              <a:t>患病率</a:t>
            </a:r>
            <a:endParaRPr lang="zh-CN" sz="1800" b="1" i="0" baseline="0"/>
          </a:p>
        </c:rich>
      </c:tx>
      <c:layout>
        <c:manualLayout>
          <c:xMode val="edge"/>
          <c:yMode val="edge"/>
          <c:x val="0.135501014180456"/>
          <c:y val="0.0455026455026455"/>
        </c:manualLayout>
      </c:layout>
      <c:overlay val="0"/>
    </c:title>
    <c:autoTitleDeleted val="0"/>
    <c:plotArea>
      <c:layout/>
      <c:barChart>
        <c:barDir val="col"/>
        <c:grouping val="clustered"/>
        <c:varyColors val="0"/>
        <c:ser>
          <c:idx val="0"/>
          <c:order val="0"/>
          <c:tx>
            <c:strRef>
              <c:f>男性</c:f>
              <c:strCache>
                <c:ptCount val="1"/>
                <c:pt idx="0">
                  <c:v>男性</c:v>
                </c:pt>
              </c:strCache>
            </c:strRef>
          </c:tx>
          <c:invertIfNegative val="0"/>
          <c:dLbls>
            <c:delete val="1"/>
          </c:dLbls>
          <c:cat>
            <c:strRef>
              <c:f>'7、体重'!$B$58:$B$64</c:f>
              <c:strCache>
                <c:ptCount val="7"/>
                <c:pt idx="0">
                  <c:v>18~29</c:v>
                </c:pt>
                <c:pt idx="1">
                  <c:v>30~</c:v>
                </c:pt>
                <c:pt idx="2">
                  <c:v>40~</c:v>
                </c:pt>
                <c:pt idx="3">
                  <c:v>50~</c:v>
                </c:pt>
                <c:pt idx="4">
                  <c:v>60~</c:v>
                </c:pt>
                <c:pt idx="5">
                  <c:v>70~</c:v>
                </c:pt>
                <c:pt idx="6">
                  <c:v>80~</c:v>
                </c:pt>
              </c:strCache>
            </c:strRef>
          </c:cat>
          <c:val>
            <c:numRef>
              <c:f>'7、体重'!$D$58:$D$64</c:f>
              <c:numCache>
                <c:formatCode>0.00%</c:formatCode>
                <c:ptCount val="7"/>
                <c:pt idx="0">
                  <c:v>0.0454545454545455</c:v>
                </c:pt>
                <c:pt idx="1">
                  <c:v>0.28</c:v>
                </c:pt>
                <c:pt idx="2">
                  <c:v>0.266666666666667</c:v>
                </c:pt>
                <c:pt idx="3">
                  <c:v>0.280821917808222</c:v>
                </c:pt>
                <c:pt idx="4">
                  <c:v>0.295774647887324</c:v>
                </c:pt>
                <c:pt idx="5">
                  <c:v>0.345454545454548</c:v>
                </c:pt>
                <c:pt idx="6">
                  <c:v>0.212121212121212</c:v>
                </c:pt>
              </c:numCache>
            </c:numRef>
          </c:val>
        </c:ser>
        <c:ser>
          <c:idx val="1"/>
          <c:order val="1"/>
          <c:tx>
            <c:strRef>
              <c:f>女性</c:f>
              <c:strCache>
                <c:ptCount val="1"/>
                <c:pt idx="0">
                  <c:v>女性</c:v>
                </c:pt>
              </c:strCache>
            </c:strRef>
          </c:tx>
          <c:invertIfNegative val="0"/>
          <c:dLbls>
            <c:delete val="1"/>
          </c:dLbls>
          <c:cat>
            <c:strRef>
              <c:f>'7、体重'!$B$58:$B$64</c:f>
              <c:strCache>
                <c:ptCount val="7"/>
                <c:pt idx="0">
                  <c:v>18~29</c:v>
                </c:pt>
                <c:pt idx="1">
                  <c:v>30~</c:v>
                </c:pt>
                <c:pt idx="2">
                  <c:v>40~</c:v>
                </c:pt>
                <c:pt idx="3">
                  <c:v>50~</c:v>
                </c:pt>
                <c:pt idx="4">
                  <c:v>60~</c:v>
                </c:pt>
                <c:pt idx="5">
                  <c:v>70~</c:v>
                </c:pt>
                <c:pt idx="6">
                  <c:v>80~</c:v>
                </c:pt>
              </c:strCache>
            </c:strRef>
          </c:cat>
          <c:val>
            <c:numRef>
              <c:f>'7、体重'!$G$58:$G$64</c:f>
              <c:numCache>
                <c:formatCode>0.00%</c:formatCode>
                <c:ptCount val="7"/>
                <c:pt idx="0">
                  <c:v>0</c:v>
                </c:pt>
                <c:pt idx="1">
                  <c:v>0.0512820512820513</c:v>
                </c:pt>
                <c:pt idx="2">
                  <c:v>0.141791044776122</c:v>
                </c:pt>
                <c:pt idx="3">
                  <c:v>0.311827956989254</c:v>
                </c:pt>
                <c:pt idx="4">
                  <c:v>0.439393939393943</c:v>
                </c:pt>
                <c:pt idx="5">
                  <c:v>0.49</c:v>
                </c:pt>
                <c:pt idx="6">
                  <c:v>0.41666666666667</c:v>
                </c:pt>
              </c:numCache>
            </c:numRef>
          </c:val>
        </c:ser>
        <c:ser>
          <c:idx val="2"/>
          <c:order val="2"/>
          <c:tx>
            <c:strRef>
              <c:f>合计</c:f>
              <c:strCache>
                <c:ptCount val="1"/>
                <c:pt idx="0">
                  <c:v>合计</c:v>
                </c:pt>
              </c:strCache>
            </c:strRef>
          </c:tx>
          <c:invertIfNegative val="0"/>
          <c:dLbls>
            <c:delete val="1"/>
          </c:dLbls>
          <c:cat>
            <c:strRef>
              <c:f>'7、体重'!$B$58:$B$64</c:f>
              <c:strCache>
                <c:ptCount val="7"/>
                <c:pt idx="0">
                  <c:v>18~29</c:v>
                </c:pt>
                <c:pt idx="1">
                  <c:v>30~</c:v>
                </c:pt>
                <c:pt idx="2">
                  <c:v>40~</c:v>
                </c:pt>
                <c:pt idx="3">
                  <c:v>50~</c:v>
                </c:pt>
                <c:pt idx="4">
                  <c:v>60~</c:v>
                </c:pt>
                <c:pt idx="5">
                  <c:v>70~</c:v>
                </c:pt>
                <c:pt idx="6">
                  <c:v>80~</c:v>
                </c:pt>
              </c:strCache>
            </c:strRef>
          </c:cat>
          <c:val>
            <c:numRef>
              <c:f>'7、体重'!$J$58:$J$64</c:f>
              <c:numCache>
                <c:formatCode>0.00%</c:formatCode>
                <c:ptCount val="7"/>
                <c:pt idx="0">
                  <c:v>0.0227272727272731</c:v>
                </c:pt>
                <c:pt idx="1">
                  <c:v>0.140625</c:v>
                </c:pt>
                <c:pt idx="2">
                  <c:v>0.186602870813397</c:v>
                </c:pt>
                <c:pt idx="3">
                  <c:v>0.29819277108434</c:v>
                </c:pt>
                <c:pt idx="4">
                  <c:v>0.379411764705887</c:v>
                </c:pt>
                <c:pt idx="5">
                  <c:v>0.414285714285714</c:v>
                </c:pt>
                <c:pt idx="6">
                  <c:v>0.333333333333333</c:v>
                </c:pt>
              </c:numCache>
            </c:numRef>
          </c:val>
        </c:ser>
        <c:dLbls>
          <c:showLegendKey val="0"/>
          <c:showVal val="0"/>
          <c:showCatName val="0"/>
          <c:showSerName val="0"/>
          <c:showPercent val="0"/>
          <c:showBubbleSize val="0"/>
        </c:dLbls>
        <c:gapWidth val="150"/>
        <c:axId val="110416256"/>
        <c:axId val="110417792"/>
      </c:barChart>
      <c:catAx>
        <c:axId val="11041625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417792"/>
        <c:crosses val="autoZero"/>
        <c:auto val="1"/>
        <c:lblAlgn val="ctr"/>
        <c:lblOffset val="100"/>
        <c:noMultiLvlLbl val="0"/>
      </c:catAx>
      <c:valAx>
        <c:axId val="110417792"/>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41625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600"/>
              <a:t>调查对象分年龄组消化道疾病患病率</a:t>
            </a:r>
            <a:endParaRPr lang="zh-CN" sz="1600"/>
          </a:p>
        </c:rich>
      </c:tx>
      <c:layout/>
      <c:overlay val="0"/>
    </c:title>
    <c:autoTitleDeleted val="0"/>
    <c:plotArea>
      <c:layout>
        <c:manualLayout>
          <c:layoutTarget val="inner"/>
          <c:xMode val="edge"/>
          <c:yMode val="edge"/>
          <c:x val="0.110926555063782"/>
          <c:y val="0.212000583260426"/>
          <c:w val="0.760314272468479"/>
          <c:h val="0.629710595386105"/>
        </c:manualLayout>
      </c:layout>
      <c:barChart>
        <c:barDir val="col"/>
        <c:grouping val="clustered"/>
        <c:varyColors val="0"/>
        <c:ser>
          <c:idx val="0"/>
          <c:order val="0"/>
          <c:tx>
            <c:strRef>
              <c:f>男性</c:f>
              <c:strCache>
                <c:ptCount val="1"/>
                <c:pt idx="0">
                  <c:v>男性</c:v>
                </c:pt>
              </c:strCache>
            </c:strRef>
          </c:tx>
          <c:invertIfNegative val="0"/>
          <c:dLbls>
            <c:delete val="1"/>
          </c:dLbls>
          <c:val>
            <c:numRef>
              <c:f>'8、肠癌和消化道疾病'!$D$34:$D$41</c:f>
              <c:numCache>
                <c:formatCode>0.00%</c:formatCode>
                <c:ptCount val="8"/>
                <c:pt idx="0">
                  <c:v>0</c:v>
                </c:pt>
                <c:pt idx="1">
                  <c:v>0.04</c:v>
                </c:pt>
                <c:pt idx="2">
                  <c:v>0.0666666666666667</c:v>
                </c:pt>
                <c:pt idx="3">
                  <c:v>0.054421768707483</c:v>
                </c:pt>
                <c:pt idx="4">
                  <c:v>0.112676056338028</c:v>
                </c:pt>
                <c:pt idx="5">
                  <c:v>0.117117117117117</c:v>
                </c:pt>
                <c:pt idx="6">
                  <c:v>0.0303030303030303</c:v>
                </c:pt>
                <c:pt idx="7">
                  <c:v>0.0792792792792793</c:v>
                </c:pt>
              </c:numCache>
            </c:numRef>
          </c:val>
        </c:ser>
        <c:ser>
          <c:idx val="1"/>
          <c:order val="1"/>
          <c:tx>
            <c:strRef>
              <c:f>女性</c:f>
              <c:strCache>
                <c:ptCount val="1"/>
                <c:pt idx="0">
                  <c:v>女性</c:v>
                </c:pt>
              </c:strCache>
            </c:strRef>
          </c:tx>
          <c:invertIfNegative val="0"/>
          <c:dLbls>
            <c:delete val="1"/>
          </c:dLbls>
          <c:val>
            <c:numRef>
              <c:f>'8、肠癌和消化道疾病'!$G$34:$G$41</c:f>
              <c:numCache>
                <c:formatCode>0.00%</c:formatCode>
                <c:ptCount val="8"/>
                <c:pt idx="0">
                  <c:v>0</c:v>
                </c:pt>
                <c:pt idx="1">
                  <c:v>0.0512820512820513</c:v>
                </c:pt>
                <c:pt idx="2">
                  <c:v>0.037313432835821</c:v>
                </c:pt>
                <c:pt idx="3">
                  <c:v>0.0909090909090912</c:v>
                </c:pt>
                <c:pt idx="4">
                  <c:v>0.160804020100502</c:v>
                </c:pt>
                <c:pt idx="5">
                  <c:v>0.117647058823529</c:v>
                </c:pt>
                <c:pt idx="6">
                  <c:v>0.0625</c:v>
                </c:pt>
                <c:pt idx="7">
                  <c:v>0.0968622100954979</c:v>
                </c:pt>
              </c:numCache>
            </c:numRef>
          </c:val>
        </c:ser>
        <c:ser>
          <c:idx val="2"/>
          <c:order val="2"/>
          <c:tx>
            <c:strRef>
              <c:f>合计</c:f>
              <c:strCache>
                <c:ptCount val="1"/>
                <c:pt idx="0">
                  <c:v>合计</c:v>
                </c:pt>
              </c:strCache>
            </c:strRef>
          </c:tx>
          <c:invertIfNegative val="0"/>
          <c:dLbls>
            <c:delete val="1"/>
          </c:dLbls>
          <c:val>
            <c:numRef>
              <c:f>'8、肠癌和消化道疾病'!$J$34:$J$41</c:f>
              <c:numCache>
                <c:formatCode>0.00%</c:formatCode>
                <c:ptCount val="8"/>
                <c:pt idx="0">
                  <c:v>0</c:v>
                </c:pt>
                <c:pt idx="1">
                  <c:v>0.046875</c:v>
                </c:pt>
                <c:pt idx="2">
                  <c:v>0.0478468899521531</c:v>
                </c:pt>
                <c:pt idx="3">
                  <c:v>0.0748502994011978</c:v>
                </c:pt>
                <c:pt idx="4">
                  <c:v>0.140762463343109</c:v>
                </c:pt>
                <c:pt idx="5">
                  <c:v>0.117370892018779</c:v>
                </c:pt>
                <c:pt idx="6">
                  <c:v>0.0493827160493835</c:v>
                </c:pt>
                <c:pt idx="7">
                  <c:v>0.089285714285714</c:v>
                </c:pt>
              </c:numCache>
            </c:numRef>
          </c:val>
        </c:ser>
        <c:dLbls>
          <c:showLegendKey val="0"/>
          <c:showVal val="0"/>
          <c:showCatName val="0"/>
          <c:showSerName val="0"/>
          <c:showPercent val="0"/>
          <c:showBubbleSize val="0"/>
        </c:dLbls>
        <c:gapWidth val="150"/>
        <c:axId val="110459904"/>
        <c:axId val="110465792"/>
      </c:barChart>
      <c:catAx>
        <c:axId val="11045990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465792"/>
        <c:crosses val="autoZero"/>
        <c:auto val="1"/>
        <c:lblAlgn val="ctr"/>
        <c:lblOffset val="100"/>
        <c:noMultiLvlLbl val="0"/>
      </c:catAx>
      <c:valAx>
        <c:axId val="110465792"/>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45990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600"/>
              <a:t>调查对象分年龄组吸烟率</a:t>
            </a:r>
            <a:endParaRPr lang="zh-CN" sz="1600"/>
          </a:p>
        </c:rich>
      </c:tx>
      <c:layout>
        <c:manualLayout>
          <c:xMode val="edge"/>
          <c:yMode val="edge"/>
          <c:x val="0.509577935312863"/>
          <c:y val="0.0355938403044348"/>
        </c:manualLayout>
      </c:layout>
      <c:overlay val="0"/>
    </c:title>
    <c:autoTitleDeleted val="0"/>
    <c:plotArea>
      <c:layout>
        <c:manualLayout>
          <c:layoutTarget val="inner"/>
          <c:xMode val="edge"/>
          <c:yMode val="edge"/>
          <c:x val="0.0815639974827708"/>
          <c:y val="0.0789931758530191"/>
          <c:w val="0.625706036745417"/>
          <c:h val="0.798225065616799"/>
        </c:manualLayout>
      </c:layout>
      <c:barChart>
        <c:barDir val="col"/>
        <c:grouping val="clustered"/>
        <c:varyColors val="0"/>
        <c:ser>
          <c:idx val="0"/>
          <c:order val="0"/>
          <c:tx>
            <c:strRef>
              <c:f>男性</c:f>
              <c:strCache>
                <c:ptCount val="1"/>
                <c:pt idx="0">
                  <c:v>男性</c:v>
                </c:pt>
              </c:strCache>
            </c:strRef>
          </c:tx>
          <c:invertIfNegative val="0"/>
          <c:dLbls>
            <c:delete val="1"/>
          </c:dLbls>
          <c:val>
            <c:numRef>
              <c:f>七、吸烟和饮酒情况!$D$6:$D$13</c:f>
              <c:numCache>
                <c:formatCode>0.00%</c:formatCode>
                <c:ptCount val="8"/>
                <c:pt idx="0">
                  <c:v>0.272727272727273</c:v>
                </c:pt>
                <c:pt idx="1">
                  <c:v>0.36</c:v>
                </c:pt>
                <c:pt idx="2">
                  <c:v>0.44</c:v>
                </c:pt>
                <c:pt idx="3">
                  <c:v>0.442176870748299</c:v>
                </c:pt>
                <c:pt idx="4">
                  <c:v>0.309859154929578</c:v>
                </c:pt>
                <c:pt idx="5">
                  <c:v>0.207207207207208</c:v>
                </c:pt>
                <c:pt idx="6">
                  <c:v>0.181818181818184</c:v>
                </c:pt>
                <c:pt idx="7">
                  <c:v>0.335135135135135</c:v>
                </c:pt>
              </c:numCache>
            </c:numRef>
          </c:val>
        </c:ser>
        <c:ser>
          <c:idx val="1"/>
          <c:order val="1"/>
          <c:tx>
            <c:strRef>
              <c:f>女性</c:f>
              <c:strCache>
                <c:ptCount val="1"/>
                <c:pt idx="0">
                  <c:v>女性</c:v>
                </c:pt>
              </c:strCache>
            </c:strRef>
          </c:tx>
          <c:invertIfNegative val="0"/>
          <c:dLbls>
            <c:delete val="1"/>
          </c:dLbls>
          <c:val>
            <c:numRef>
              <c:f>七、吸烟和饮酒情况!$G$6:$G$13</c:f>
              <c:numCache>
                <c:formatCode>0.00%</c:formatCode>
                <c:ptCount val="8"/>
                <c:pt idx="0">
                  <c:v>0</c:v>
                </c:pt>
                <c:pt idx="1">
                  <c:v>0</c:v>
                </c:pt>
                <c:pt idx="2">
                  <c:v>0.0149253731343284</c:v>
                </c:pt>
                <c:pt idx="3">
                  <c:v>0.0053475935828877</c:v>
                </c:pt>
                <c:pt idx="4">
                  <c:v>0.0201005025125628</c:v>
                </c:pt>
                <c:pt idx="5">
                  <c:v>0</c:v>
                </c:pt>
                <c:pt idx="6">
                  <c:v>0</c:v>
                </c:pt>
                <c:pt idx="7">
                  <c:v>0.00954979536152797</c:v>
                </c:pt>
              </c:numCache>
            </c:numRef>
          </c:val>
        </c:ser>
        <c:ser>
          <c:idx val="2"/>
          <c:order val="2"/>
          <c:tx>
            <c:strRef>
              <c:f>合计</c:f>
              <c:strCache>
                <c:ptCount val="1"/>
                <c:pt idx="0">
                  <c:v>合计</c:v>
                </c:pt>
              </c:strCache>
            </c:strRef>
          </c:tx>
          <c:invertIfNegative val="0"/>
          <c:dLbls>
            <c:delete val="1"/>
          </c:dLbls>
          <c:val>
            <c:numRef>
              <c:f>七、吸烟和饮酒情况!$J$6:$J$13</c:f>
              <c:numCache>
                <c:formatCode>0.00%</c:formatCode>
                <c:ptCount val="8"/>
                <c:pt idx="0">
                  <c:v>0.130434782608696</c:v>
                </c:pt>
                <c:pt idx="1">
                  <c:v>0.140625</c:v>
                </c:pt>
                <c:pt idx="2">
                  <c:v>0.167464114832537</c:v>
                </c:pt>
                <c:pt idx="3">
                  <c:v>0.197604790419162</c:v>
                </c:pt>
                <c:pt idx="4">
                  <c:v>0.140762463343109</c:v>
                </c:pt>
                <c:pt idx="5">
                  <c:v>0.107981220657277</c:v>
                </c:pt>
                <c:pt idx="6">
                  <c:v>0.0740740740740741</c:v>
                </c:pt>
                <c:pt idx="7">
                  <c:v>0.149844720496895</c:v>
                </c:pt>
              </c:numCache>
            </c:numRef>
          </c:val>
        </c:ser>
        <c:dLbls>
          <c:showLegendKey val="0"/>
          <c:showVal val="0"/>
          <c:showCatName val="0"/>
          <c:showSerName val="0"/>
          <c:showPercent val="0"/>
          <c:showBubbleSize val="0"/>
        </c:dLbls>
        <c:gapWidth val="150"/>
        <c:axId val="110499712"/>
        <c:axId val="110501248"/>
      </c:barChart>
      <c:catAx>
        <c:axId val="11049971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501248"/>
        <c:crosses val="autoZero"/>
        <c:auto val="1"/>
        <c:lblAlgn val="ctr"/>
        <c:lblOffset val="100"/>
        <c:noMultiLvlLbl val="0"/>
      </c:catAx>
      <c:valAx>
        <c:axId val="110501248"/>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49971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25"/>
          <c:dPt>
            <c:idx val="0"/>
            <c:bubble3D val="0"/>
          </c:dPt>
          <c:dPt>
            <c:idx val="1"/>
            <c:bubble3D val="0"/>
          </c:dPt>
          <c:dPt>
            <c:idx val="2"/>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Sheet2!$B$26:$D$26</c:f>
              <c:strCache>
                <c:ptCount val="3"/>
                <c:pt idx="0">
                  <c:v>感染性疾病和母婴疾病</c:v>
                </c:pt>
                <c:pt idx="1">
                  <c:v>慢性非传染性疾病</c:v>
                </c:pt>
                <c:pt idx="2">
                  <c:v>损伤和中毒</c:v>
                </c:pt>
              </c:strCache>
            </c:strRef>
          </c:cat>
          <c:val>
            <c:numRef>
              <c:f>Sheet2!$B$27:$D$27</c:f>
              <c:numCache>
                <c:formatCode>0.00%</c:formatCode>
                <c:ptCount val="3"/>
                <c:pt idx="0">
                  <c:v>0.0308</c:v>
                </c:pt>
                <c:pt idx="1">
                  <c:v>0.8857</c:v>
                </c:pt>
                <c:pt idx="2">
                  <c:v>0.0703000000000001</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sz="1600"/>
              <a:t>调查对象分年龄组饮酒率</a:t>
            </a:r>
            <a:endParaRPr lang="zh-CN" sz="1600"/>
          </a:p>
        </c:rich>
      </c:tx>
      <c:layout>
        <c:manualLayout>
          <c:xMode val="edge"/>
          <c:yMode val="edge"/>
          <c:x val="0.514072661447119"/>
          <c:y val="0.0303719866342008"/>
        </c:manualLayout>
      </c:layout>
      <c:overlay val="1"/>
    </c:title>
    <c:autoTitleDeleted val="0"/>
    <c:plotArea>
      <c:layout/>
      <c:barChart>
        <c:barDir val="col"/>
        <c:grouping val="clustered"/>
        <c:varyColors val="0"/>
        <c:ser>
          <c:idx val="0"/>
          <c:order val="0"/>
          <c:tx>
            <c:strRef>
              <c:f>男性</c:f>
              <c:strCache>
                <c:ptCount val="1"/>
                <c:pt idx="0">
                  <c:v>男性</c:v>
                </c:pt>
              </c:strCache>
            </c:strRef>
          </c:tx>
          <c:invertIfNegative val="0"/>
          <c:dLbls>
            <c:delete val="1"/>
          </c:dLbls>
          <c:val>
            <c:numRef>
              <c:f>七、吸烟和饮酒情况!$D$74:$D$81</c:f>
              <c:numCache>
                <c:formatCode>0.00%</c:formatCode>
                <c:ptCount val="8"/>
                <c:pt idx="0">
                  <c:v>0.5</c:v>
                </c:pt>
                <c:pt idx="1">
                  <c:v>0.52</c:v>
                </c:pt>
                <c:pt idx="2">
                  <c:v>0.653333333333335</c:v>
                </c:pt>
                <c:pt idx="3">
                  <c:v>0.639455782312925</c:v>
                </c:pt>
                <c:pt idx="4">
                  <c:v>0.584507042253521</c:v>
                </c:pt>
                <c:pt idx="5">
                  <c:v>0.387387387387394</c:v>
                </c:pt>
                <c:pt idx="6">
                  <c:v>0.242424242424244</c:v>
                </c:pt>
                <c:pt idx="7">
                  <c:v>0.542342342342342</c:v>
                </c:pt>
              </c:numCache>
            </c:numRef>
          </c:val>
        </c:ser>
        <c:ser>
          <c:idx val="1"/>
          <c:order val="1"/>
          <c:tx>
            <c:strRef>
              <c:f>女性</c:f>
              <c:strCache>
                <c:ptCount val="1"/>
                <c:pt idx="0">
                  <c:v>女性</c:v>
                </c:pt>
              </c:strCache>
            </c:strRef>
          </c:tx>
          <c:invertIfNegative val="0"/>
          <c:dLbls>
            <c:delete val="1"/>
          </c:dLbls>
          <c:val>
            <c:numRef>
              <c:f>七、吸烟和饮酒情况!$G$74:$G$81</c:f>
              <c:numCache>
                <c:formatCode>0.00%</c:formatCode>
                <c:ptCount val="8"/>
                <c:pt idx="0">
                  <c:v>0.125</c:v>
                </c:pt>
                <c:pt idx="1">
                  <c:v>0.102564102564103</c:v>
                </c:pt>
                <c:pt idx="2">
                  <c:v>0.171641791044776</c:v>
                </c:pt>
                <c:pt idx="3">
                  <c:v>0.18716577540107</c:v>
                </c:pt>
                <c:pt idx="4">
                  <c:v>0.190954773869347</c:v>
                </c:pt>
                <c:pt idx="5">
                  <c:v>0.0882352941176477</c:v>
                </c:pt>
                <c:pt idx="6">
                  <c:v>0</c:v>
                </c:pt>
                <c:pt idx="7">
                  <c:v>0.152796725784448</c:v>
                </c:pt>
              </c:numCache>
            </c:numRef>
          </c:val>
        </c:ser>
        <c:ser>
          <c:idx val="2"/>
          <c:order val="2"/>
          <c:tx>
            <c:strRef>
              <c:f>合计</c:f>
              <c:strCache>
                <c:ptCount val="1"/>
                <c:pt idx="0">
                  <c:v>合计</c:v>
                </c:pt>
              </c:strCache>
            </c:strRef>
          </c:tx>
          <c:invertIfNegative val="0"/>
          <c:dLbls>
            <c:delete val="1"/>
          </c:dLbls>
          <c:val>
            <c:numRef>
              <c:f>七、吸烟和饮酒情况!$J$74:$J$81</c:f>
              <c:numCache>
                <c:formatCode>0.00%</c:formatCode>
                <c:ptCount val="8"/>
                <c:pt idx="0">
                  <c:v>0.304347826086957</c:v>
                </c:pt>
                <c:pt idx="1">
                  <c:v>0.265625</c:v>
                </c:pt>
                <c:pt idx="2">
                  <c:v>0.344497607655502</c:v>
                </c:pt>
                <c:pt idx="3">
                  <c:v>0.38622754491018</c:v>
                </c:pt>
                <c:pt idx="4">
                  <c:v>0.354838709677423</c:v>
                </c:pt>
                <c:pt idx="5">
                  <c:v>0.244131455399062</c:v>
                </c:pt>
                <c:pt idx="6">
                  <c:v>0.0987654320987668</c:v>
                </c:pt>
                <c:pt idx="7">
                  <c:v>0.320652173913049</c:v>
                </c:pt>
              </c:numCache>
            </c:numRef>
          </c:val>
        </c:ser>
        <c:dLbls>
          <c:showLegendKey val="0"/>
          <c:showVal val="0"/>
          <c:showCatName val="0"/>
          <c:showSerName val="0"/>
          <c:showPercent val="0"/>
          <c:showBubbleSize val="0"/>
        </c:dLbls>
        <c:gapWidth val="150"/>
        <c:axId val="110543616"/>
        <c:axId val="110545152"/>
      </c:barChart>
      <c:catAx>
        <c:axId val="110543616"/>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545152"/>
        <c:crosses val="autoZero"/>
        <c:auto val="1"/>
        <c:lblAlgn val="ctr"/>
        <c:lblOffset val="100"/>
        <c:noMultiLvlLbl val="0"/>
      </c:catAx>
      <c:valAx>
        <c:axId val="110545152"/>
        <c:scaling>
          <c:orientation val="minMax"/>
        </c:scaling>
        <c:delete val="0"/>
        <c:axPos val="l"/>
        <c:majorGridlines/>
        <c:numFmt formatCode="0.00%"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05436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Sheet3!$P$27</c:f>
              <c:strCache>
                <c:ptCount val="1"/>
                <c:pt idx="0">
                  <c:v>男</c:v>
                </c:pt>
              </c:strCache>
            </c:strRef>
          </c:tx>
          <c:dLbls>
            <c:delete val="1"/>
          </c:dLbls>
          <c:cat>
            <c:strRef>
              <c:f>Sheet3!$O$28:$O$39</c:f>
              <c:strCache>
                <c:ptCount val="12"/>
                <c:pt idx="0">
                  <c:v>(岁)</c:v>
                </c:pt>
                <c:pt idx="1">
                  <c:v>0-</c:v>
                </c:pt>
                <c:pt idx="2">
                  <c:v>1-</c:v>
                </c:pt>
                <c:pt idx="3">
                  <c:v>5-</c:v>
                </c:pt>
                <c:pt idx="4">
                  <c:v>15-</c:v>
                </c:pt>
                <c:pt idx="5">
                  <c:v>25-</c:v>
                </c:pt>
                <c:pt idx="6">
                  <c:v>35-</c:v>
                </c:pt>
                <c:pt idx="7">
                  <c:v>45-</c:v>
                </c:pt>
                <c:pt idx="8">
                  <c:v>55-</c:v>
                </c:pt>
                <c:pt idx="9">
                  <c:v>65-</c:v>
                </c:pt>
                <c:pt idx="10">
                  <c:v>75-</c:v>
                </c:pt>
                <c:pt idx="11">
                  <c:v>85-</c:v>
                </c:pt>
              </c:strCache>
            </c:strRef>
          </c:cat>
          <c:val>
            <c:numRef>
              <c:f>Sheet3!$P$28:$P$39</c:f>
              <c:numCache>
                <c:formatCode>General</c:formatCode>
                <c:ptCount val="12"/>
                <c:pt idx="1" c:formatCode="0.00_);[Red]\(0.00\)">
                  <c:v>0</c:v>
                </c:pt>
                <c:pt idx="2" c:formatCode="0.00_);[Red]\(0.00\)">
                  <c:v>13.4716421931834</c:v>
                </c:pt>
                <c:pt idx="3" c:formatCode="0.00_);[Red]\(0.00\)">
                  <c:v>1.29871816517098</c:v>
                </c:pt>
                <c:pt idx="4" c:formatCode="0.00_);[Red]\(0.00\)">
                  <c:v>7.48200577610843</c:v>
                </c:pt>
                <c:pt idx="5" c:formatCode="0.00_);[Red]\(0.00\)">
                  <c:v>10.6286868257427</c:v>
                </c:pt>
                <c:pt idx="6" c:formatCode="0.00_);[Red]\(0.00\)">
                  <c:v>38.6858419489927</c:v>
                </c:pt>
                <c:pt idx="7" c:formatCode="0.00_);[Red]\(0.00\)">
                  <c:v>120.35888832154</c:v>
                </c:pt>
                <c:pt idx="8" c:formatCode="0.00_);[Red]\(0.00\)">
                  <c:v>353.203618787954</c:v>
                </c:pt>
                <c:pt idx="9" c:formatCode="0.00_);[Red]\(0.00\)">
                  <c:v>801.143931677512</c:v>
                </c:pt>
                <c:pt idx="10" c:formatCode="0.00_);[Red]\(0.00\)">
                  <c:v>1662.34694789525</c:v>
                </c:pt>
                <c:pt idx="11" c:formatCode="0.00_);[Red]\(0.00\)">
                  <c:v>1833.74083129584</c:v>
                </c:pt>
              </c:numCache>
            </c:numRef>
          </c:val>
          <c:smooth val="0"/>
        </c:ser>
        <c:ser>
          <c:idx val="1"/>
          <c:order val="1"/>
          <c:tx>
            <c:strRef>
              <c:f>Sheet3!$Q$27</c:f>
              <c:strCache>
                <c:ptCount val="1"/>
                <c:pt idx="0">
                  <c:v>女</c:v>
                </c:pt>
              </c:strCache>
            </c:strRef>
          </c:tx>
          <c:dLbls>
            <c:delete val="1"/>
          </c:dLbls>
          <c:cat>
            <c:strRef>
              <c:f>Sheet3!$O$28:$O$39</c:f>
              <c:strCache>
                <c:ptCount val="12"/>
                <c:pt idx="0">
                  <c:v>(岁)</c:v>
                </c:pt>
                <c:pt idx="1">
                  <c:v>0-</c:v>
                </c:pt>
                <c:pt idx="2">
                  <c:v>1-</c:v>
                </c:pt>
                <c:pt idx="3">
                  <c:v>5-</c:v>
                </c:pt>
                <c:pt idx="4">
                  <c:v>15-</c:v>
                </c:pt>
                <c:pt idx="5">
                  <c:v>25-</c:v>
                </c:pt>
                <c:pt idx="6">
                  <c:v>35-</c:v>
                </c:pt>
                <c:pt idx="7">
                  <c:v>45-</c:v>
                </c:pt>
                <c:pt idx="8">
                  <c:v>55-</c:v>
                </c:pt>
                <c:pt idx="9">
                  <c:v>65-</c:v>
                </c:pt>
                <c:pt idx="10">
                  <c:v>75-</c:v>
                </c:pt>
                <c:pt idx="11">
                  <c:v>85-</c:v>
                </c:pt>
              </c:strCache>
            </c:strRef>
          </c:cat>
          <c:val>
            <c:numRef>
              <c:f>Sheet3!$Q$28:$Q$39</c:f>
              <c:numCache>
                <c:formatCode>General</c:formatCode>
                <c:ptCount val="12"/>
                <c:pt idx="1" c:formatCode="0.00_);[Red]\(0.00\)">
                  <c:v>0</c:v>
                </c:pt>
                <c:pt idx="2" c:formatCode="0.00_);[Red]\(0.00\)">
                  <c:v>0</c:v>
                </c:pt>
                <c:pt idx="3" c:formatCode="0.00_);[Red]\(0.00\)">
                  <c:v>0</c:v>
                </c:pt>
                <c:pt idx="4" c:formatCode="0.00_);[Red]\(0.00\)">
                  <c:v>3.39097999321801</c:v>
                </c:pt>
                <c:pt idx="5" c:formatCode="0.00_);[Red]\(0.00\)">
                  <c:v>5.859397888273</c:v>
                </c:pt>
                <c:pt idx="6" c:formatCode="0.00_);[Red]\(0.00\)">
                  <c:v>20.536089732933</c:v>
                </c:pt>
                <c:pt idx="7" c:formatCode="0.00_);[Red]\(0.00\)">
                  <c:v>72.283713575785</c:v>
                </c:pt>
                <c:pt idx="8" c:formatCode="0.00_);[Red]\(0.00\)">
                  <c:v>167.907453362471</c:v>
                </c:pt>
                <c:pt idx="9" c:formatCode="0.00_);[Red]\(0.00\)">
                  <c:v>358.947347886307</c:v>
                </c:pt>
                <c:pt idx="10" c:formatCode="0.00_);[Red]\(0.00\)">
                  <c:v>795.697984523238</c:v>
                </c:pt>
                <c:pt idx="11" c:formatCode="0.00_);[Red]\(0.00\)">
                  <c:v>635.026737967916</c:v>
                </c:pt>
              </c:numCache>
            </c:numRef>
          </c:val>
          <c:smooth val="0"/>
        </c:ser>
        <c:ser>
          <c:idx val="2"/>
          <c:order val="2"/>
          <c:tx>
            <c:strRef>
              <c:f>Sheet3!$R$27</c:f>
              <c:strCache>
                <c:ptCount val="1"/>
                <c:pt idx="0">
                  <c:v>合计</c:v>
                </c:pt>
              </c:strCache>
            </c:strRef>
          </c:tx>
          <c:dLbls>
            <c:delete val="1"/>
          </c:dLbls>
          <c:cat>
            <c:strRef>
              <c:f>Sheet3!$O$28:$O$39</c:f>
              <c:strCache>
                <c:ptCount val="12"/>
                <c:pt idx="0">
                  <c:v>(岁)</c:v>
                </c:pt>
                <c:pt idx="1">
                  <c:v>0-</c:v>
                </c:pt>
                <c:pt idx="2">
                  <c:v>1-</c:v>
                </c:pt>
                <c:pt idx="3">
                  <c:v>5-</c:v>
                </c:pt>
                <c:pt idx="4">
                  <c:v>15-</c:v>
                </c:pt>
                <c:pt idx="5">
                  <c:v>25-</c:v>
                </c:pt>
                <c:pt idx="6">
                  <c:v>35-</c:v>
                </c:pt>
                <c:pt idx="7">
                  <c:v>45-</c:v>
                </c:pt>
                <c:pt idx="8">
                  <c:v>55-</c:v>
                </c:pt>
                <c:pt idx="9">
                  <c:v>65-</c:v>
                </c:pt>
                <c:pt idx="10">
                  <c:v>75-</c:v>
                </c:pt>
                <c:pt idx="11">
                  <c:v>85-</c:v>
                </c:pt>
              </c:strCache>
            </c:strRef>
          </c:cat>
          <c:val>
            <c:numRef>
              <c:f>Sheet3!$R$28:$R$39</c:f>
              <c:numCache>
                <c:formatCode>General</c:formatCode>
                <c:ptCount val="12"/>
                <c:pt idx="1" c:formatCode="0.00_);[Red]\(0.00\)">
                  <c:v>0</c:v>
                </c:pt>
                <c:pt idx="2" c:formatCode="0.00_);[Red]\(0.00\)">
                  <c:v>7.05168887948664</c:v>
                </c:pt>
                <c:pt idx="3" c:formatCode="0.00_);[Red]\(0.00\)">
                  <c:v>0.712199985756</c:v>
                </c:pt>
                <c:pt idx="4" c:formatCode="0.00_);[Red]\(0.00\)">
                  <c:v>5.56407831042788</c:v>
                </c:pt>
                <c:pt idx="5" c:formatCode="0.00_);[Red]\(0.00\)">
                  <c:v>8.36036518075106</c:v>
                </c:pt>
                <c:pt idx="6" c:formatCode="0.00_);[Red]\(0.00\)">
                  <c:v>29.6613260071478</c:v>
                </c:pt>
                <c:pt idx="7" c:formatCode="0.00_);[Red]\(0.00\)">
                  <c:v>96.2123206230202</c:v>
                </c:pt>
                <c:pt idx="8" c:formatCode="0.00_);[Red]\(0.00\)">
                  <c:v>260.379622356777</c:v>
                </c:pt>
                <c:pt idx="9" c:formatCode="0.00_);[Red]\(0.00\)">
                  <c:v>579.593990988438</c:v>
                </c:pt>
                <c:pt idx="10" c:formatCode="0.00_);[Red]\(0.00\)">
                  <c:v>1224.30939226519</c:v>
                </c:pt>
                <c:pt idx="11" c:formatCode="0.00_);[Red]\(0.00\)">
                  <c:v>1140.53740576069</c:v>
                </c:pt>
              </c:numCache>
            </c:numRef>
          </c:val>
          <c:smooth val="0"/>
        </c:ser>
        <c:dLbls>
          <c:showLegendKey val="0"/>
          <c:showVal val="0"/>
          <c:showCatName val="0"/>
          <c:showSerName val="0"/>
          <c:showPercent val="0"/>
          <c:showBubbleSize val="0"/>
        </c:dLbls>
        <c:marker val="1"/>
        <c:smooth val="0"/>
        <c:axId val="34928128"/>
        <c:axId val="34929664"/>
      </c:lineChart>
      <c:catAx>
        <c:axId val="3492812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4929664"/>
        <c:crosses val="autoZero"/>
        <c:auto val="1"/>
        <c:lblAlgn val="ctr"/>
        <c:lblOffset val="100"/>
        <c:noMultiLvlLbl val="0"/>
      </c:catAx>
      <c:valAx>
        <c:axId val="349296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49281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Sheet3!$B$43</c:f>
              <c:strCache>
                <c:ptCount val="1"/>
                <c:pt idx="0">
                  <c:v>男</c:v>
                </c:pt>
              </c:strCache>
            </c:strRef>
          </c:tx>
          <c:dLbls>
            <c:delete val="1"/>
          </c:dLbls>
          <c:cat>
            <c:strRef>
              <c:f>Sheet3!$A$44:$A$48</c:f>
              <c:strCache>
                <c:ptCount val="5"/>
                <c:pt idx="0">
                  <c:v>2015年</c:v>
                </c:pt>
                <c:pt idx="1">
                  <c:v>2016年</c:v>
                </c:pt>
                <c:pt idx="2">
                  <c:v>2017年</c:v>
                </c:pt>
                <c:pt idx="3">
                  <c:v>2018年</c:v>
                </c:pt>
                <c:pt idx="4">
                  <c:v>2019年</c:v>
                </c:pt>
              </c:strCache>
            </c:strRef>
          </c:cat>
          <c:val>
            <c:numRef>
              <c:f>Sheet3!$B$44:$B$48</c:f>
              <c:numCache>
                <c:formatCode>0.00_ </c:formatCode>
                <c:ptCount val="5"/>
                <c:pt idx="0">
                  <c:v>245.63</c:v>
                </c:pt>
                <c:pt idx="1">
                  <c:v>259.22</c:v>
                </c:pt>
                <c:pt idx="2">
                  <c:v>248.56</c:v>
                </c:pt>
                <c:pt idx="3">
                  <c:v>249.84</c:v>
                </c:pt>
                <c:pt idx="4">
                  <c:v>213.65</c:v>
                </c:pt>
              </c:numCache>
            </c:numRef>
          </c:val>
          <c:smooth val="0"/>
        </c:ser>
        <c:ser>
          <c:idx val="1"/>
          <c:order val="1"/>
          <c:tx>
            <c:strRef>
              <c:f>Sheet3!$C$43</c:f>
              <c:strCache>
                <c:ptCount val="1"/>
                <c:pt idx="0">
                  <c:v>女</c:v>
                </c:pt>
              </c:strCache>
            </c:strRef>
          </c:tx>
          <c:dLbls>
            <c:delete val="1"/>
          </c:dLbls>
          <c:cat>
            <c:strRef>
              <c:f>Sheet3!$A$44:$A$48</c:f>
              <c:strCache>
                <c:ptCount val="5"/>
                <c:pt idx="0">
                  <c:v>2015年</c:v>
                </c:pt>
                <c:pt idx="1">
                  <c:v>2016年</c:v>
                </c:pt>
                <c:pt idx="2">
                  <c:v>2017年</c:v>
                </c:pt>
                <c:pt idx="3">
                  <c:v>2018年</c:v>
                </c:pt>
                <c:pt idx="4">
                  <c:v>2019年</c:v>
                </c:pt>
              </c:strCache>
            </c:strRef>
          </c:cat>
          <c:val>
            <c:numRef>
              <c:f>Sheet3!$C$44:$C$48</c:f>
              <c:numCache>
                <c:formatCode>0.00_ </c:formatCode>
                <c:ptCount val="5"/>
                <c:pt idx="0">
                  <c:v>113.82</c:v>
                </c:pt>
                <c:pt idx="1">
                  <c:v>122.31</c:v>
                </c:pt>
                <c:pt idx="2">
                  <c:v>113.43</c:v>
                </c:pt>
                <c:pt idx="3">
                  <c:v>126.63</c:v>
                </c:pt>
                <c:pt idx="4">
                  <c:v>108.95</c:v>
                </c:pt>
              </c:numCache>
            </c:numRef>
          </c:val>
          <c:smooth val="0"/>
        </c:ser>
        <c:ser>
          <c:idx val="2"/>
          <c:order val="2"/>
          <c:tx>
            <c:strRef>
              <c:f>Sheet3!$D$43</c:f>
              <c:strCache>
                <c:ptCount val="1"/>
                <c:pt idx="0">
                  <c:v>合计</c:v>
                </c:pt>
              </c:strCache>
            </c:strRef>
          </c:tx>
          <c:dLbls>
            <c:delete val="1"/>
          </c:dLbls>
          <c:cat>
            <c:strRef>
              <c:f>Sheet3!$A$44:$A$48</c:f>
              <c:strCache>
                <c:ptCount val="5"/>
                <c:pt idx="0">
                  <c:v>2015年</c:v>
                </c:pt>
                <c:pt idx="1">
                  <c:v>2016年</c:v>
                </c:pt>
                <c:pt idx="2">
                  <c:v>2017年</c:v>
                </c:pt>
                <c:pt idx="3">
                  <c:v>2018年</c:v>
                </c:pt>
                <c:pt idx="4">
                  <c:v>2019年</c:v>
                </c:pt>
              </c:strCache>
            </c:strRef>
          </c:cat>
          <c:val>
            <c:numRef>
              <c:f>Sheet3!$D$44:$D$48</c:f>
              <c:numCache>
                <c:formatCode>0.00_ </c:formatCode>
                <c:ptCount val="5"/>
                <c:pt idx="0">
                  <c:v>180.79</c:v>
                </c:pt>
                <c:pt idx="1">
                  <c:v>191.820000000001</c:v>
                </c:pt>
                <c:pt idx="2">
                  <c:v>182.01</c:v>
                </c:pt>
                <c:pt idx="3">
                  <c:v>189.2</c:v>
                </c:pt>
                <c:pt idx="4">
                  <c:v>162.61</c:v>
                </c:pt>
              </c:numCache>
            </c:numRef>
          </c:val>
          <c:smooth val="0"/>
        </c:ser>
        <c:dLbls>
          <c:showLegendKey val="0"/>
          <c:showVal val="0"/>
          <c:showCatName val="0"/>
          <c:showSerName val="0"/>
          <c:showPercent val="0"/>
          <c:showBubbleSize val="0"/>
        </c:dLbls>
        <c:marker val="1"/>
        <c:smooth val="0"/>
        <c:axId val="35192832"/>
        <c:axId val="35194368"/>
      </c:lineChart>
      <c:catAx>
        <c:axId val="35192832"/>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194368"/>
        <c:crosses val="autoZero"/>
        <c:auto val="1"/>
        <c:lblAlgn val="ctr"/>
        <c:lblOffset val="100"/>
        <c:noMultiLvlLbl val="0"/>
      </c:catAx>
      <c:valAx>
        <c:axId val="35194368"/>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19283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Sheet3!$B$61</c:f>
              <c:strCache>
                <c:ptCount val="1"/>
                <c:pt idx="0">
                  <c:v>男</c:v>
                </c:pt>
              </c:strCache>
            </c:strRef>
          </c:tx>
          <c:dLbls>
            <c:delete val="1"/>
          </c:dLbls>
          <c:cat>
            <c:strRef>
              <c:f>Sheet3!$A$62:$A$66</c:f>
              <c:strCache>
                <c:ptCount val="5"/>
                <c:pt idx="0">
                  <c:v>2015年</c:v>
                </c:pt>
                <c:pt idx="1">
                  <c:v>2016年</c:v>
                </c:pt>
                <c:pt idx="2">
                  <c:v>2017年</c:v>
                </c:pt>
                <c:pt idx="3">
                  <c:v>2018年</c:v>
                </c:pt>
                <c:pt idx="4">
                  <c:v>2019年</c:v>
                </c:pt>
              </c:strCache>
            </c:strRef>
          </c:cat>
          <c:val>
            <c:numRef>
              <c:f>Sheet3!$B$62:$B$66</c:f>
              <c:numCache>
                <c:formatCode>0.00_ </c:formatCode>
                <c:ptCount val="5"/>
                <c:pt idx="0">
                  <c:v>267.66</c:v>
                </c:pt>
                <c:pt idx="1">
                  <c:v>264.54</c:v>
                </c:pt>
                <c:pt idx="2">
                  <c:v>267.4</c:v>
                </c:pt>
                <c:pt idx="3">
                  <c:v>277.04</c:v>
                </c:pt>
                <c:pt idx="4">
                  <c:v>233.07</c:v>
                </c:pt>
              </c:numCache>
            </c:numRef>
          </c:val>
          <c:smooth val="0"/>
        </c:ser>
        <c:ser>
          <c:idx val="1"/>
          <c:order val="1"/>
          <c:tx>
            <c:strRef>
              <c:f>Sheet3!$C$61</c:f>
              <c:strCache>
                <c:ptCount val="1"/>
                <c:pt idx="0">
                  <c:v>女</c:v>
                </c:pt>
              </c:strCache>
            </c:strRef>
          </c:tx>
          <c:dLbls>
            <c:delete val="1"/>
          </c:dLbls>
          <c:cat>
            <c:strRef>
              <c:f>Sheet3!$A$62:$A$66</c:f>
              <c:strCache>
                <c:ptCount val="5"/>
                <c:pt idx="0">
                  <c:v>2015年</c:v>
                </c:pt>
                <c:pt idx="1">
                  <c:v>2016年</c:v>
                </c:pt>
                <c:pt idx="2">
                  <c:v>2017年</c:v>
                </c:pt>
                <c:pt idx="3">
                  <c:v>2018年</c:v>
                </c:pt>
                <c:pt idx="4">
                  <c:v>2019年</c:v>
                </c:pt>
              </c:strCache>
            </c:strRef>
          </c:cat>
          <c:val>
            <c:numRef>
              <c:f>Sheet3!$C$62:$C$66</c:f>
              <c:numCache>
                <c:formatCode>0.00_ </c:formatCode>
                <c:ptCount val="5"/>
                <c:pt idx="0">
                  <c:v>249.86</c:v>
                </c:pt>
                <c:pt idx="1">
                  <c:v>223.01</c:v>
                </c:pt>
                <c:pt idx="2">
                  <c:v>238.95</c:v>
                </c:pt>
                <c:pt idx="3">
                  <c:v>243.350000000001</c:v>
                </c:pt>
                <c:pt idx="4">
                  <c:v>212.02</c:v>
                </c:pt>
              </c:numCache>
            </c:numRef>
          </c:val>
          <c:smooth val="0"/>
        </c:ser>
        <c:ser>
          <c:idx val="2"/>
          <c:order val="2"/>
          <c:tx>
            <c:strRef>
              <c:f>Sheet3!$D$61</c:f>
              <c:strCache>
                <c:ptCount val="1"/>
                <c:pt idx="0">
                  <c:v>合计</c:v>
                </c:pt>
              </c:strCache>
            </c:strRef>
          </c:tx>
          <c:dLbls>
            <c:delete val="1"/>
          </c:dLbls>
          <c:cat>
            <c:strRef>
              <c:f>Sheet3!$A$62:$A$66</c:f>
              <c:strCache>
                <c:ptCount val="5"/>
                <c:pt idx="0">
                  <c:v>2015年</c:v>
                </c:pt>
                <c:pt idx="1">
                  <c:v>2016年</c:v>
                </c:pt>
                <c:pt idx="2">
                  <c:v>2017年</c:v>
                </c:pt>
                <c:pt idx="3">
                  <c:v>2018年</c:v>
                </c:pt>
                <c:pt idx="4">
                  <c:v>2019年</c:v>
                </c:pt>
              </c:strCache>
            </c:strRef>
          </c:cat>
          <c:val>
            <c:numRef>
              <c:f>Sheet3!$D$62:$D$66</c:f>
              <c:numCache>
                <c:formatCode>0.00_ </c:formatCode>
                <c:ptCount val="5"/>
                <c:pt idx="0">
                  <c:v>258.91</c:v>
                </c:pt>
                <c:pt idx="1">
                  <c:v>244.1</c:v>
                </c:pt>
                <c:pt idx="2">
                  <c:v>253.39</c:v>
                </c:pt>
                <c:pt idx="3">
                  <c:v>260.46</c:v>
                </c:pt>
                <c:pt idx="4">
                  <c:v>222.81</c:v>
                </c:pt>
              </c:numCache>
            </c:numRef>
          </c:val>
          <c:smooth val="0"/>
        </c:ser>
        <c:dLbls>
          <c:showLegendKey val="0"/>
          <c:showVal val="0"/>
          <c:showCatName val="0"/>
          <c:showSerName val="0"/>
          <c:showPercent val="0"/>
          <c:showBubbleSize val="0"/>
        </c:dLbls>
        <c:marker val="1"/>
        <c:smooth val="0"/>
        <c:axId val="35211520"/>
        <c:axId val="35213312"/>
      </c:lineChart>
      <c:catAx>
        <c:axId val="3521152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213312"/>
        <c:crosses val="autoZero"/>
        <c:auto val="1"/>
        <c:lblAlgn val="ctr"/>
        <c:lblOffset val="100"/>
        <c:noMultiLvlLbl val="0"/>
      </c:catAx>
      <c:valAx>
        <c:axId val="35213312"/>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2115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Sheet3!$B$82</c:f>
              <c:strCache>
                <c:ptCount val="1"/>
                <c:pt idx="0">
                  <c:v>男</c:v>
                </c:pt>
              </c:strCache>
            </c:strRef>
          </c:tx>
          <c:dLbls>
            <c:delete val="1"/>
          </c:dLbls>
          <c:cat>
            <c:strRef>
              <c:f>Sheet3!$A$83:$A$87</c:f>
              <c:strCache>
                <c:ptCount val="5"/>
                <c:pt idx="0">
                  <c:v>2015年</c:v>
                </c:pt>
                <c:pt idx="1">
                  <c:v>2016年</c:v>
                </c:pt>
                <c:pt idx="2">
                  <c:v>2017年</c:v>
                </c:pt>
                <c:pt idx="3">
                  <c:v>2018年</c:v>
                </c:pt>
                <c:pt idx="4">
                  <c:v>2019年</c:v>
                </c:pt>
              </c:strCache>
            </c:strRef>
          </c:cat>
          <c:val>
            <c:numRef>
              <c:f>Sheet3!$B$83:$B$87</c:f>
              <c:numCache>
                <c:formatCode>0.00_ </c:formatCode>
                <c:ptCount val="5"/>
                <c:pt idx="0">
                  <c:v>32.88</c:v>
                </c:pt>
                <c:pt idx="1">
                  <c:v>34.44</c:v>
                </c:pt>
                <c:pt idx="2">
                  <c:v>32.71</c:v>
                </c:pt>
                <c:pt idx="3">
                  <c:v>29.34</c:v>
                </c:pt>
                <c:pt idx="4">
                  <c:v>27.5</c:v>
                </c:pt>
              </c:numCache>
            </c:numRef>
          </c:val>
          <c:smooth val="0"/>
        </c:ser>
        <c:ser>
          <c:idx val="1"/>
          <c:order val="1"/>
          <c:tx>
            <c:strRef>
              <c:f>Sheet3!$C$82</c:f>
              <c:strCache>
                <c:ptCount val="1"/>
                <c:pt idx="0">
                  <c:v>女</c:v>
                </c:pt>
              </c:strCache>
            </c:strRef>
          </c:tx>
          <c:dLbls>
            <c:delete val="1"/>
          </c:dLbls>
          <c:cat>
            <c:strRef>
              <c:f>Sheet3!$A$83:$A$87</c:f>
              <c:strCache>
                <c:ptCount val="5"/>
                <c:pt idx="0">
                  <c:v>2015年</c:v>
                </c:pt>
                <c:pt idx="1">
                  <c:v>2016年</c:v>
                </c:pt>
                <c:pt idx="2">
                  <c:v>2017年</c:v>
                </c:pt>
                <c:pt idx="3">
                  <c:v>2018年</c:v>
                </c:pt>
                <c:pt idx="4">
                  <c:v>2019年</c:v>
                </c:pt>
              </c:strCache>
            </c:strRef>
          </c:cat>
          <c:val>
            <c:numRef>
              <c:f>Sheet3!$C$83:$C$87</c:f>
              <c:numCache>
                <c:formatCode>0.00_ </c:formatCode>
                <c:ptCount val="5"/>
                <c:pt idx="0">
                  <c:v>18.36</c:v>
                </c:pt>
                <c:pt idx="1">
                  <c:v>23.25</c:v>
                </c:pt>
                <c:pt idx="2">
                  <c:v>18.14</c:v>
                </c:pt>
                <c:pt idx="3">
                  <c:v>15.05</c:v>
                </c:pt>
                <c:pt idx="4">
                  <c:v>14.05</c:v>
                </c:pt>
              </c:numCache>
            </c:numRef>
          </c:val>
          <c:smooth val="0"/>
        </c:ser>
        <c:ser>
          <c:idx val="2"/>
          <c:order val="2"/>
          <c:tx>
            <c:strRef>
              <c:f>Sheet3!$D$82</c:f>
              <c:strCache>
                <c:ptCount val="1"/>
                <c:pt idx="0">
                  <c:v>合计</c:v>
                </c:pt>
              </c:strCache>
            </c:strRef>
          </c:tx>
          <c:dLbls>
            <c:delete val="1"/>
          </c:dLbls>
          <c:cat>
            <c:strRef>
              <c:f>Sheet3!$A$83:$A$87</c:f>
              <c:strCache>
                <c:ptCount val="5"/>
                <c:pt idx="0">
                  <c:v>2015年</c:v>
                </c:pt>
                <c:pt idx="1">
                  <c:v>2016年</c:v>
                </c:pt>
                <c:pt idx="2">
                  <c:v>2017年</c:v>
                </c:pt>
                <c:pt idx="3">
                  <c:v>2018年</c:v>
                </c:pt>
                <c:pt idx="4">
                  <c:v>2019年</c:v>
                </c:pt>
              </c:strCache>
            </c:strRef>
          </c:cat>
          <c:val>
            <c:numRef>
              <c:f>Sheet3!$D$83:$D$87</c:f>
              <c:numCache>
                <c:formatCode>0.00_ </c:formatCode>
                <c:ptCount val="5"/>
                <c:pt idx="0">
                  <c:v>25.74</c:v>
                </c:pt>
                <c:pt idx="1">
                  <c:v>28.93</c:v>
                </c:pt>
                <c:pt idx="2">
                  <c:v>25.54</c:v>
                </c:pt>
                <c:pt idx="3">
                  <c:v>22.31</c:v>
                </c:pt>
                <c:pt idx="4">
                  <c:v>20.94</c:v>
                </c:pt>
              </c:numCache>
            </c:numRef>
          </c:val>
          <c:smooth val="0"/>
        </c:ser>
        <c:dLbls>
          <c:showLegendKey val="0"/>
          <c:showVal val="0"/>
          <c:showCatName val="0"/>
          <c:showSerName val="0"/>
          <c:showPercent val="0"/>
          <c:showBubbleSize val="0"/>
        </c:dLbls>
        <c:marker val="1"/>
        <c:smooth val="0"/>
        <c:axId val="35234560"/>
        <c:axId val="35236096"/>
      </c:lineChart>
      <c:catAx>
        <c:axId val="3523456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236096"/>
        <c:crosses val="autoZero"/>
        <c:auto val="1"/>
        <c:lblAlgn val="ctr"/>
        <c:lblOffset val="100"/>
        <c:noMultiLvlLbl val="0"/>
      </c:catAx>
      <c:valAx>
        <c:axId val="35236096"/>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23456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Sheet3!$B$102</c:f>
              <c:strCache>
                <c:ptCount val="1"/>
                <c:pt idx="0">
                  <c:v>男</c:v>
                </c:pt>
              </c:strCache>
            </c:strRef>
          </c:tx>
          <c:dLbls>
            <c:delete val="1"/>
          </c:dLbls>
          <c:cat>
            <c:strRef>
              <c:f>Sheet3!$A$103:$A$107</c:f>
              <c:strCache>
                <c:ptCount val="5"/>
                <c:pt idx="0">
                  <c:v>2015年</c:v>
                </c:pt>
                <c:pt idx="1">
                  <c:v>2016年</c:v>
                </c:pt>
                <c:pt idx="2">
                  <c:v>2017年</c:v>
                </c:pt>
                <c:pt idx="3">
                  <c:v>2018年</c:v>
                </c:pt>
                <c:pt idx="4">
                  <c:v>2019年</c:v>
                </c:pt>
              </c:strCache>
            </c:strRef>
          </c:cat>
          <c:val>
            <c:numRef>
              <c:f>Sheet3!$B$103:$B$107</c:f>
              <c:numCache>
                <c:formatCode>0.00_ </c:formatCode>
                <c:ptCount val="5"/>
                <c:pt idx="0">
                  <c:v>14.57</c:v>
                </c:pt>
                <c:pt idx="1">
                  <c:v>17.58</c:v>
                </c:pt>
                <c:pt idx="2">
                  <c:v>13.51</c:v>
                </c:pt>
                <c:pt idx="3">
                  <c:v>19.03</c:v>
                </c:pt>
                <c:pt idx="4">
                  <c:v>18.18</c:v>
                </c:pt>
              </c:numCache>
            </c:numRef>
          </c:val>
          <c:smooth val="0"/>
        </c:ser>
        <c:ser>
          <c:idx val="1"/>
          <c:order val="1"/>
          <c:tx>
            <c:strRef>
              <c:f>Sheet3!$C$102</c:f>
              <c:strCache>
                <c:ptCount val="1"/>
                <c:pt idx="0">
                  <c:v>女</c:v>
                </c:pt>
              </c:strCache>
            </c:strRef>
          </c:tx>
          <c:dLbls>
            <c:delete val="1"/>
          </c:dLbls>
          <c:cat>
            <c:strRef>
              <c:f>Sheet3!$A$103:$A$107</c:f>
              <c:strCache>
                <c:ptCount val="5"/>
                <c:pt idx="0">
                  <c:v>2015年</c:v>
                </c:pt>
                <c:pt idx="1">
                  <c:v>2016年</c:v>
                </c:pt>
                <c:pt idx="2">
                  <c:v>2017年</c:v>
                </c:pt>
                <c:pt idx="3">
                  <c:v>2018年</c:v>
                </c:pt>
                <c:pt idx="4">
                  <c:v>2019年</c:v>
                </c:pt>
              </c:strCache>
            </c:strRef>
          </c:cat>
          <c:val>
            <c:numRef>
              <c:f>Sheet3!$C$103:$C$107</c:f>
              <c:numCache>
                <c:formatCode>0.00_ </c:formatCode>
                <c:ptCount val="5"/>
                <c:pt idx="0">
                  <c:v>19.09</c:v>
                </c:pt>
                <c:pt idx="1">
                  <c:v>23.25</c:v>
                </c:pt>
                <c:pt idx="2">
                  <c:v>22.36</c:v>
                </c:pt>
                <c:pt idx="3">
                  <c:v>23.67</c:v>
                </c:pt>
                <c:pt idx="4">
                  <c:v>22.54</c:v>
                </c:pt>
              </c:numCache>
            </c:numRef>
          </c:val>
          <c:smooth val="0"/>
        </c:ser>
        <c:ser>
          <c:idx val="2"/>
          <c:order val="2"/>
          <c:tx>
            <c:strRef>
              <c:f>Sheet3!$D$102</c:f>
              <c:strCache>
                <c:ptCount val="1"/>
                <c:pt idx="0">
                  <c:v>合计</c:v>
                </c:pt>
              </c:strCache>
            </c:strRef>
          </c:tx>
          <c:dLbls>
            <c:delete val="1"/>
          </c:dLbls>
          <c:cat>
            <c:strRef>
              <c:f>Sheet3!$A$103:$A$107</c:f>
              <c:strCache>
                <c:ptCount val="5"/>
                <c:pt idx="0">
                  <c:v>2015年</c:v>
                </c:pt>
                <c:pt idx="1">
                  <c:v>2016年</c:v>
                </c:pt>
                <c:pt idx="2">
                  <c:v>2017年</c:v>
                </c:pt>
                <c:pt idx="3">
                  <c:v>2018年</c:v>
                </c:pt>
                <c:pt idx="4">
                  <c:v>2019年</c:v>
                </c:pt>
              </c:strCache>
            </c:strRef>
          </c:cat>
          <c:val>
            <c:numRef>
              <c:f>Sheet3!$D$103:$D$107</c:f>
              <c:numCache>
                <c:formatCode>0.00_ </c:formatCode>
                <c:ptCount val="5"/>
                <c:pt idx="0">
                  <c:v>16.8</c:v>
                </c:pt>
                <c:pt idx="1">
                  <c:v>20.37</c:v>
                </c:pt>
                <c:pt idx="2">
                  <c:v>17.87</c:v>
                </c:pt>
                <c:pt idx="3">
                  <c:v>21.31</c:v>
                </c:pt>
                <c:pt idx="4">
                  <c:v>20.31</c:v>
                </c:pt>
              </c:numCache>
            </c:numRef>
          </c:val>
          <c:smooth val="0"/>
        </c:ser>
        <c:dLbls>
          <c:showLegendKey val="0"/>
          <c:showVal val="0"/>
          <c:showCatName val="0"/>
          <c:showSerName val="0"/>
          <c:showPercent val="0"/>
          <c:showBubbleSize val="0"/>
        </c:dLbls>
        <c:marker val="1"/>
        <c:smooth val="0"/>
        <c:axId val="35253248"/>
        <c:axId val="35586816"/>
      </c:lineChart>
      <c:catAx>
        <c:axId val="3525324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586816"/>
        <c:crosses val="autoZero"/>
        <c:auto val="1"/>
        <c:lblAlgn val="ctr"/>
        <c:lblOffset val="100"/>
        <c:noMultiLvlLbl val="0"/>
      </c:catAx>
      <c:valAx>
        <c:axId val="35586816"/>
        <c:scaling>
          <c:orientation val="minMax"/>
        </c:scaling>
        <c:delete val="0"/>
        <c:axPos val="l"/>
        <c:majorGridlines/>
        <c:numFmt formatCode="0.00_ "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2532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总发病率</c:f>
              <c:strCache>
                <c:ptCount val="1"/>
                <c:pt idx="0">
                  <c:v>总发病率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糖尿病!$B$41:$B$45</c:f>
              <c:numCache>
                <c:formatCode>General</c:formatCode>
                <c:ptCount val="5"/>
                <c:pt idx="0">
                  <c:v>2015</c:v>
                </c:pt>
                <c:pt idx="1">
                  <c:v>2016</c:v>
                </c:pt>
                <c:pt idx="2">
                  <c:v>2017</c:v>
                </c:pt>
                <c:pt idx="3">
                  <c:v>2018</c:v>
                </c:pt>
                <c:pt idx="4">
                  <c:v>2019</c:v>
                </c:pt>
              </c:numCache>
            </c:numRef>
          </c:cat>
          <c:val>
            <c:numRef>
              <c:f>糖尿病!$C$41:$C$45</c:f>
              <c:numCache>
                <c:formatCode>General</c:formatCode>
                <c:ptCount val="5"/>
                <c:pt idx="0">
                  <c:v>482.77</c:v>
                </c:pt>
                <c:pt idx="1">
                  <c:v>491.26</c:v>
                </c:pt>
                <c:pt idx="2">
                  <c:v>390.919999999999</c:v>
                </c:pt>
                <c:pt idx="3">
                  <c:v>363.15</c:v>
                </c:pt>
                <c:pt idx="4">
                  <c:v>348.62</c:v>
                </c:pt>
              </c:numCache>
            </c:numRef>
          </c:val>
          <c:smooth val="0"/>
        </c:ser>
        <c:ser>
          <c:idx val="1"/>
          <c:order val="1"/>
          <c:tx>
            <c:strRef>
              <c:f>Ⅱ型糖尿病发病率</c:f>
              <c:strCache>
                <c:ptCount val="1"/>
                <c:pt idx="0">
                  <c:v>Ⅱ型糖尿病发病率</c:v>
                </c:pt>
              </c:strCache>
            </c:strRef>
          </c:tx>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numRef>
              <c:f>糖尿病!$B$41:$B$45</c:f>
              <c:numCache>
                <c:formatCode>General</c:formatCode>
                <c:ptCount val="5"/>
                <c:pt idx="0">
                  <c:v>2015</c:v>
                </c:pt>
                <c:pt idx="1">
                  <c:v>2016</c:v>
                </c:pt>
                <c:pt idx="2">
                  <c:v>2017</c:v>
                </c:pt>
                <c:pt idx="3">
                  <c:v>2018</c:v>
                </c:pt>
                <c:pt idx="4">
                  <c:v>2019</c:v>
                </c:pt>
              </c:numCache>
            </c:numRef>
          </c:cat>
          <c:val>
            <c:numRef>
              <c:f>糖尿病!$D$41:$D$45</c:f>
              <c:numCache>
                <c:formatCode>General</c:formatCode>
                <c:ptCount val="5"/>
                <c:pt idx="0">
                  <c:v>321.04</c:v>
                </c:pt>
                <c:pt idx="1">
                  <c:v>287.27</c:v>
                </c:pt>
                <c:pt idx="2">
                  <c:v>227.13</c:v>
                </c:pt>
                <c:pt idx="3">
                  <c:v>223.07</c:v>
                </c:pt>
                <c:pt idx="4">
                  <c:v>184.43</c:v>
                </c:pt>
              </c:numCache>
            </c:numRef>
          </c:val>
          <c:smooth val="0"/>
        </c:ser>
        <c:dLbls>
          <c:showLegendKey val="0"/>
          <c:showVal val="1"/>
          <c:showCatName val="0"/>
          <c:showSerName val="0"/>
          <c:showPercent val="0"/>
          <c:showBubbleSize val="0"/>
        </c:dLbls>
        <c:marker val="1"/>
        <c:smooth val="0"/>
        <c:axId val="35628544"/>
        <c:axId val="35630464"/>
      </c:lineChart>
      <c:catAx>
        <c:axId val="35628544"/>
        <c:scaling>
          <c:orientation val="minMax"/>
        </c:scaling>
        <c:delete val="0"/>
        <c:axPos val="b"/>
        <c:title>
          <c:tx>
            <c:rich>
              <a:bodyPr rot="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年份</a:t>
                </a:r>
                <a:endParaRPr lang="zh-CN" alt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630464"/>
        <c:crosses val="autoZero"/>
        <c:auto val="1"/>
        <c:lblAlgn val="ctr"/>
        <c:lblOffset val="100"/>
        <c:noMultiLvlLbl val="0"/>
      </c:catAx>
      <c:valAx>
        <c:axId val="35630464"/>
        <c:scaling>
          <c:orientation val="minMax"/>
        </c:scaling>
        <c:delete val="0"/>
        <c:axPos val="l"/>
        <c:title>
          <c:tx>
            <c:rich>
              <a:bodyPr rot="0" spcFirstLastPara="0" vertOverflow="ellipsis" vert="wordArtVertRtl" wrap="square" anchor="ctr" anchorCtr="1"/>
              <a:lstStyle/>
              <a:p>
                <a:pPr>
                  <a:defRPr lang="zh-CN" sz="1000" b="1" i="0" u="none" strike="noStrike" kern="1200" baseline="0">
                    <a:solidFill>
                      <a:schemeClr val="tx1"/>
                    </a:solidFill>
                    <a:latin typeface="+mn-lt"/>
                    <a:ea typeface="+mn-ea"/>
                    <a:cs typeface="+mn-cs"/>
                  </a:defRPr>
                </a:pPr>
                <a:r>
                  <a:rPr lang="zh-CN" altLang="en-US"/>
                  <a:t>发病率（</a:t>
                </a:r>
                <a:r>
                  <a:rPr lang="en-US" altLang="zh-CN"/>
                  <a:t>/10</a:t>
                </a:r>
                <a:r>
                  <a:rPr lang="zh-CN" altLang="en-US"/>
                  <a:t>万）</a:t>
                </a:r>
                <a:endParaRPr lang="zh-CN" altLang="en-US"/>
              </a:p>
            </c:rich>
          </c:tx>
          <c:layout/>
          <c:overlay val="0"/>
        </c:title>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356285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72</Pages>
  <Words>34784</Words>
  <Characters>44828</Characters>
  <Lines>342</Lines>
  <Paragraphs>96</Paragraphs>
  <TotalTime>87</TotalTime>
  <ScaleCrop>false</ScaleCrop>
  <LinksUpToDate>false</LinksUpToDate>
  <CharactersWithSpaces>45215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2021-03-20T17:15:00Z</dcterms:created>
  <dc:creator>Administrator</dc:creator>
  <cp:lastModifiedBy>Administrator</cp:lastModifiedBy>
  <dcterms:modified xsi:type="dcterms:W3CDTF">2023-01-14T08:14:44Z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TemplateTypoMode" linkTarget="0">
    <vt:lpwstr>web</vt:lpwstr>
  </property>
  <property fmtid="{D5CDD505-2E9C-101B-9397-08002B2CF9AE}" pid="3" name="woTemplate" linkTarget="0">
    <vt:i4>1</vt:i4>
  </property>
  <property fmtid="{D5CDD505-2E9C-101B-9397-08002B2CF9AE}" pid="4" name="KSOProductBuildVer">
    <vt:lpwstr>2052-11.1.0.12970</vt:lpwstr>
  </property>
  <property fmtid="{D5CDD505-2E9C-101B-9397-08002B2CF9AE}" pid="5" name="ICV">
    <vt:lpwstr>8B9CF75955B44971963DC27B559FA2D3</vt:lpwstr>
  </property>
</Properties>
</file>