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瑞教</w:t>
      </w:r>
      <w:r>
        <w:rPr>
          <w:rFonts w:hint="eastAsia" w:ascii="仿宋" w:hAnsi="仿宋" w:eastAsia="仿宋"/>
          <w:sz w:val="32"/>
          <w:szCs w:val="32"/>
          <w:lang w:eastAsia="zh-CN"/>
        </w:rPr>
        <w:t>安</w:t>
      </w:r>
      <w:r>
        <w:rPr>
          <w:rFonts w:hint="eastAsia" w:ascii="仿宋_GB2312" w:eastAsia="仿宋_GB2312"/>
          <w:sz w:val="32"/>
          <w:szCs w:val="32"/>
        </w:rPr>
        <w:t>〔2018〕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</w:rPr>
        <w:t>瑞安市教育局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</w:rPr>
        <w:t>关于举办201</w:t>
      </w:r>
      <w:r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</w:rPr>
        <w:t>年民办</w:t>
      </w:r>
      <w:r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w w:val="92"/>
          <w:sz w:val="44"/>
          <w:szCs w:val="44"/>
        </w:rPr>
        <w:t>安保主任培训会的通知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各教育学区，各民办幼儿园：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为进一步加强民办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安全教育管理工作，不断提高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安全保卫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人员的业务能力和综合素质，建立健全学校安全管理长效机制，根据《瑞安市教育局关于下达201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年教师培训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的通知》（瑞教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号）要求，决定举办201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安保主任培训会。现将有关事项通知如下：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各教育学区分管安全干部，各民办幼儿园安全保卫负责人。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，为期2天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。报到时间：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11月15日上午8：10。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市委党校报告厅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1587" w:gutter="0"/>
          <w:pgNumType w:fmt="numberInDash"/>
          <w:cols w:space="0" w:num="1"/>
          <w:rtlGutter w:val="0"/>
          <w:docGrid w:type="linesAndChars" w:linePitch="289" w:charSpace="-1844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幼儿园安全管理、食品卫生安全、活动安全、安全事故防范和处置等。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lang w:eastAsia="zh-CN"/>
        </w:rPr>
        <w:t>学区属民办幼儿园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由各教育学区统一上报至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lang w:eastAsia="zh-CN"/>
        </w:rPr>
        <w:t>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教育局学生工作与安全保卫科邮箱rajyjxsk@163.com，直属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lang w:eastAsia="zh-CN"/>
        </w:rPr>
        <w:t>民办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幼儿园直接上报。联系人：戈晨威，联系电话：66809312。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培训费由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教育局统一负责报销。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差旅费回原单位报销。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因车位紧张，请尽量选择绿色出行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瑞安市民办幼儿园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安保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40"/>
        </w:rPr>
        <w:t>201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8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瑞安市</w:t>
      </w:r>
      <w:r>
        <w:rPr>
          <w:rFonts w:hint="eastAsia" w:ascii="方正小标宋简体" w:eastAsia="方正小标宋简体"/>
          <w:sz w:val="40"/>
          <w:szCs w:val="40"/>
        </w:rPr>
        <w:t>民办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幼儿园</w:t>
      </w:r>
      <w:r>
        <w:rPr>
          <w:rFonts w:hint="eastAsia" w:ascii="方正小标宋简体" w:eastAsia="方正小标宋简体"/>
          <w:sz w:val="40"/>
          <w:szCs w:val="40"/>
        </w:rPr>
        <w:t>安保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干部</w:t>
      </w:r>
      <w:r>
        <w:rPr>
          <w:rFonts w:hint="eastAsia" w:ascii="方正小标宋简体" w:eastAsia="方正小标宋简体"/>
          <w:sz w:val="40"/>
          <w:szCs w:val="40"/>
        </w:rPr>
        <w:t>培训报名表</w:t>
      </w: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856" w:type="dxa"/>
        <w:jc w:val="center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64"/>
        <w:gridCol w:w="2067"/>
        <w:gridCol w:w="930"/>
        <w:gridCol w:w="960"/>
        <w:gridCol w:w="216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19" w:firstLineChars="7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01" w:firstLineChars="10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75pt;height:0pt;width:442.2pt;z-index:251658240;mso-width-relative:page;mso-height-relative:page;" filled="f" stroked="t" coordsize="21600,21600" o:gfxdata="UEsDBAoAAAAAAIdO4kAAAAAAAAAAAAAAAAAEAAAAZHJzL1BLAwQUAAAACACHTuJAk2k5UdYAAAAG&#10;AQAADwAAAGRycy9kb3ducmV2LnhtbE2PzW7CMBCE75V4B2uReisOCIqVxuFAhVCrXoBKvS7xNk6J&#10;1yE2P337uuqBHndmNPNtsbi6VpypD41nDeNRBoK48qbhWsP7bvWgQISIbLD1TBq+KcCiHNwVmBt/&#10;4Q2dt7EWqYRDjhpsjF0uZagsOQwj3xEn79P3DmM6+1qaHi+p3LVykmWP0mHDacFiR0tL1WF7chrw&#10;eb2JH2ryOm9e7NvXbnVcW3XU+n44zp5ARLrGWxh+8RM6lIlp709sgmg1pEeihtl8BiK5Sk2nIPZ/&#10;giwL+R+//AFQSwMEFAAAAAgAh07iQJRkxX7aAQAAlwMAAA4AAABkcnMvZTJvRG9jLnhtbK1TS44T&#10;MRDdI3EHy3vSSYYZoJXOLAjDBsFIAweo+NNtyT+5POnkElwAiR2sWLKf2zAcg7KTyfDZIEQWlbKr&#10;/Fzv+fXifOss26iEJviOzyZTzpQXQRrfd/zd24tHTznDDF6CDV51fKeQny8fPliMsVXzMAQrVWIE&#10;4rEdY8eHnGPbNCgG5QAnISpPRR2Sg0zL1DcywUjozjbz6fSsGUOSMQWhEGl3tS/yZcXXWon8RmtU&#10;mdmO02y5xlTjusRmuYC2TxAHIw5jwD9M4cB4uvQItYIM7DqZP6CcESlg0HkigmuC1kaoyoHYzKa/&#10;sbkaIKrKhcTBeJQJ/x+seL25TMzIjp9w5sHRE91++Prt/afvNx8p3n75zE6KSGPElnqv4mU6rJDS&#10;wnirkyv/xIVtq7C7o7Bqm5mgzdOz2emzx6S/uKs19wdjwvxSBcdK0nFrfOEMLWxeYabLqPWupWxb&#10;z0Zy2vzJtOABeUZbyJS6SCzQ9/UwBmvkhbG2HMHUr5/bxDZQXFB/hRMB/9JWblkBDvu+Wtr7Y1Ag&#10;X3jJ8i6SPp6MzMsMTknOrCLfl4wAoc1g7N900tXW0wRF1r2QJVsHuaPXuI7J9ANJMatTlgq9fp33&#10;4NRir5/XFen+e1r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NpOVHWAAAABgEAAA8AAAAAAAAA&#10;AQAgAAAAIgAAAGRycy9kb3ducmV2LnhtbFBLAQIUABQAAAAIAIdO4kCUZMV+2gEAAJcDAAAOAAAA&#10;AAAAAAEAIAAAACU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59264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A0gGBTaAQAAlwMAAA4AAABkcnMvZTJvRG9jLnhtbK1TzW4TMRC+&#10;I/EOlu9kNyta6CqbHgjlgqBS4QEmtnfXkv/kcbPJS/ACSNzgxJE7b9PyGIydNC1wQYgcJmPP+PN8&#10;n79dnG+tYRsVUXvX8fms5kw54aV2Q8ffv7t48pwzTOAkGO9Ux3cK+fny8aPFFFrV+NEbqSIjEIft&#10;FDo+phTaqkIxKgs480E5KvY+Wki0jEMlI0yEbk3V1PVpNfkoQ/RCIdLual/ky4Lf90qkt32PKjHT&#10;cZotlRhLXOdYLRfQDhHCqMVhDPiHKSxoR5ceoVaQgF1H/QeU1SJ69H2aCW8r3/daqMKB2Mzr39hc&#10;jRBU4ULiYDjKhP8PVrzZXEamZccbzhxYeqLbj99uPnz+8f0TxduvX1iTRZoCttR7FS7jYYWUZsbb&#10;Ptr8T1zYtgi7OwqrtokJ2jw5nZ+cPSX9xV2tuj8YIqZXyluWk44b7TJnaGHzGhNdRq13LXnbODaR&#10;05pndcYD8kxvIFFqA7FAN5TD6I2WF9qYfATjsH5hIttAdkH5ZU4E/EtbvmUFOO77Smnvj1GBfOkk&#10;S7tA+jgyMs8zWCU5M4p8nzMChDaBNn/TSVcbRxNkWfdC5mzt5Y5e4zpEPYwkxbxMmSv0+mXeg1Oz&#10;vR6uC9L997T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wCbTvTAAAAAgEAAA8AAAAAAAAAAQAg&#10;AAAAIgAAAGRycy9kb3ducmV2LnhtbFBLAQIUABQAAAAIAIdO4kANIBgU2gEAAJcDAAAOAAAAAAAA&#10;AAEAIAAAACIBAABkcnMvZTJvRG9jLnhtbFBLBQYAAAAABgAGAFkBAABu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瑞安市教育局办公室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474" w:bottom="1984" w:left="1588" w:header="851" w:footer="1587" w:gutter="0"/>
      <w:pgNumType w:fmt="numberInDash" w:start="2"/>
      <w:cols w:space="0" w:num="1"/>
      <w:rtlGutter w:val="0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6D5B"/>
    <w:multiLevelType w:val="singleLevel"/>
    <w:tmpl w:val="55866D5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1"/>
  <w:drawingGridVerticalSpacing w:val="14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A319E"/>
    <w:rsid w:val="10104828"/>
    <w:rsid w:val="1C4E1053"/>
    <w:rsid w:val="4D0A5AE2"/>
    <w:rsid w:val="4F90723A"/>
    <w:rsid w:val="5A8E1E80"/>
    <w:rsid w:val="62E35A77"/>
    <w:rsid w:val="6C3246F1"/>
    <w:rsid w:val="76F9632B"/>
    <w:rsid w:val="77E24E12"/>
    <w:rsid w:val="7B6D7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^^畅畅和冠冠**</cp:lastModifiedBy>
  <dcterms:modified xsi:type="dcterms:W3CDTF">2018-11-09T09:37:57Z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